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wmf" ContentType="image/x-w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899" w:rsidRDefault="003D7899" w:rsidP="003D7899">
      <w:pPr>
        <w:pStyle w:val="Zkladntext"/>
        <w:jc w:val="center"/>
        <w:rPr>
          <w:spacing w:val="32"/>
          <w:sz w:val="32"/>
        </w:rPr>
      </w:pPr>
      <w:r>
        <w:rPr>
          <w:spacing w:val="32"/>
          <w:sz w:val="32"/>
        </w:rPr>
        <w:t>Masarykova univerzita</w:t>
      </w:r>
    </w:p>
    <w:p w:rsidR="003D7899" w:rsidRDefault="003D7899" w:rsidP="003D7899">
      <w:pPr>
        <w:pStyle w:val="Diplomka-textodstavce"/>
        <w:spacing w:before="0" w:after="100" w:line="240" w:lineRule="auto"/>
        <w:jc w:val="center"/>
        <w:rPr>
          <w:bCs/>
          <w:sz w:val="32"/>
        </w:rPr>
      </w:pPr>
      <w:r>
        <w:rPr>
          <w:bCs/>
          <w:sz w:val="32"/>
        </w:rPr>
        <w:t>Ekonomicko</w:t>
      </w:r>
      <w:r>
        <w:rPr>
          <w:bCs/>
          <w:sz w:val="32"/>
        </w:rPr>
        <w:noBreakHyphen/>
        <w:t>správní fakulta</w:t>
      </w:r>
    </w:p>
    <w:p w:rsidR="003D7899" w:rsidRDefault="003D7899" w:rsidP="003D7899">
      <w:pPr>
        <w:pStyle w:val="Diplomka-textodstavce"/>
        <w:spacing w:before="100" w:after="100" w:line="240" w:lineRule="auto"/>
        <w:jc w:val="center"/>
        <w:rPr>
          <w:b/>
        </w:rPr>
      </w:pPr>
      <w:r>
        <w:rPr>
          <w:b/>
        </w:rPr>
        <w:t>Studijní obor: Finance</w:t>
      </w:r>
    </w:p>
    <w:p w:rsidR="003D7899" w:rsidRDefault="003D7899" w:rsidP="003D7899">
      <w:pPr>
        <w:pStyle w:val="Diplomka-textodstavce"/>
        <w:spacing w:before="100" w:after="100" w:line="240" w:lineRule="auto"/>
        <w:jc w:val="center"/>
        <w:rPr>
          <w:b/>
        </w:rPr>
      </w:pPr>
    </w:p>
    <w:p w:rsidR="003D7899" w:rsidRDefault="003D7899" w:rsidP="003D7899">
      <w:pPr>
        <w:pStyle w:val="Diplomka-textodstavce"/>
        <w:spacing w:before="100" w:after="100" w:line="240" w:lineRule="auto"/>
        <w:jc w:val="center"/>
        <w:rPr>
          <w:b/>
        </w:rPr>
      </w:pPr>
    </w:p>
    <w:p w:rsidR="003D7899" w:rsidRDefault="003D7899" w:rsidP="003D7899">
      <w:pPr>
        <w:pStyle w:val="Diplomka-textodstavce"/>
        <w:spacing w:before="100" w:after="100" w:line="240" w:lineRule="auto"/>
        <w:jc w:val="center"/>
        <w:rPr>
          <w:b/>
        </w:rPr>
      </w:pPr>
      <w:r>
        <w:rPr>
          <w:noProof/>
          <w:lang w:eastAsia="cs-CZ"/>
        </w:rPr>
        <w:drawing>
          <wp:anchor distT="0" distB="0" distL="114300" distR="114300" simplePos="0" relativeHeight="251660288" behindDoc="0" locked="0" layoutInCell="1" allowOverlap="1">
            <wp:simplePos x="0" y="0"/>
            <wp:positionH relativeFrom="column">
              <wp:posOffset>2172335</wp:posOffset>
            </wp:positionH>
            <wp:positionV relativeFrom="paragraph">
              <wp:posOffset>22225</wp:posOffset>
            </wp:positionV>
            <wp:extent cx="1450975" cy="1440815"/>
            <wp:effectExtent l="19050" t="0" r="0" b="0"/>
            <wp:wrapSquare wrapText="bothSides"/>
            <wp:docPr id="4" name="obrázek 2" descr="..\..\..\arch\loga\logoESF2008\logoC.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arch\loga\logoESF2008\logoC.wmf"/>
                    <pic:cNvPicPr>
                      <a:picLocks noChangeAspect="1" noChangeArrowheads="1"/>
                    </pic:cNvPicPr>
                  </pic:nvPicPr>
                  <pic:blipFill>
                    <a:blip r:embed="rId8" cstate="print"/>
                    <a:srcRect/>
                    <a:stretch>
                      <a:fillRect/>
                    </a:stretch>
                  </pic:blipFill>
                  <pic:spPr bwMode="auto">
                    <a:xfrm>
                      <a:off x="0" y="0"/>
                      <a:ext cx="1450975" cy="1440815"/>
                    </a:xfrm>
                    <a:prstGeom prst="rect">
                      <a:avLst/>
                    </a:prstGeom>
                    <a:noFill/>
                    <a:ln w="9525">
                      <a:noFill/>
                      <a:miter lim="800000"/>
                      <a:headEnd/>
                      <a:tailEnd/>
                    </a:ln>
                  </pic:spPr>
                </pic:pic>
              </a:graphicData>
            </a:graphic>
          </wp:anchor>
        </w:drawing>
      </w:r>
    </w:p>
    <w:p w:rsidR="003D7899" w:rsidRDefault="003D7899" w:rsidP="003D7899">
      <w:pPr>
        <w:pStyle w:val="Diplomka-textodstavce"/>
        <w:spacing w:before="100" w:after="100" w:line="240" w:lineRule="auto"/>
        <w:jc w:val="center"/>
        <w:rPr>
          <w:b/>
        </w:rPr>
      </w:pPr>
    </w:p>
    <w:p w:rsidR="003D7899" w:rsidRDefault="003D7899" w:rsidP="003D7899">
      <w:pPr>
        <w:pStyle w:val="Diplomka-textodstavce"/>
        <w:spacing w:before="100" w:after="100" w:line="240" w:lineRule="auto"/>
        <w:jc w:val="center"/>
        <w:rPr>
          <w:b/>
        </w:rPr>
      </w:pPr>
    </w:p>
    <w:p w:rsidR="003D7899" w:rsidRDefault="003D7899" w:rsidP="003D7899">
      <w:pPr>
        <w:pStyle w:val="Diplomka-textodstavce"/>
        <w:spacing w:before="100" w:after="100" w:line="240" w:lineRule="auto"/>
        <w:jc w:val="center"/>
        <w:rPr>
          <w:b/>
        </w:rPr>
      </w:pPr>
    </w:p>
    <w:p w:rsidR="003D7899" w:rsidRDefault="003D7899" w:rsidP="003D7899">
      <w:pPr>
        <w:pStyle w:val="Zkladntext"/>
        <w:jc w:val="center"/>
      </w:pPr>
    </w:p>
    <w:p w:rsidR="003D7899" w:rsidRDefault="003D7899" w:rsidP="003D7899">
      <w:pPr>
        <w:pStyle w:val="Zkladntext"/>
        <w:jc w:val="center"/>
      </w:pPr>
    </w:p>
    <w:p w:rsidR="003D7899" w:rsidRDefault="003D7899" w:rsidP="003D7899">
      <w:pPr>
        <w:pStyle w:val="Zkladntext"/>
        <w:jc w:val="center"/>
      </w:pPr>
    </w:p>
    <w:p w:rsidR="003D7899" w:rsidRDefault="003D7899" w:rsidP="003D7899">
      <w:pPr>
        <w:pStyle w:val="Zkladntext"/>
        <w:jc w:val="center"/>
      </w:pPr>
    </w:p>
    <w:p w:rsidR="003D7899" w:rsidRDefault="003D7899" w:rsidP="003D7899">
      <w:pPr>
        <w:pStyle w:val="Zkladntext"/>
        <w:spacing w:before="240"/>
        <w:jc w:val="center"/>
        <w:rPr>
          <w:bCs/>
          <w:caps/>
          <w:sz w:val="44"/>
        </w:rPr>
      </w:pPr>
      <w:r>
        <w:rPr>
          <w:bCs/>
          <w:caps/>
          <w:sz w:val="44"/>
        </w:rPr>
        <w:t>VYUŽITÍ DERIVÁTŮ PŘI ŘÍZENÍ MĚNOVÉHO A ÚROKOVÉHO RIZIKA</w:t>
      </w:r>
    </w:p>
    <w:p w:rsidR="003D7899" w:rsidRDefault="003D7899" w:rsidP="003D7899">
      <w:pPr>
        <w:pStyle w:val="Zkladntext"/>
        <w:spacing w:before="240"/>
        <w:jc w:val="center"/>
        <w:rPr>
          <w:bCs/>
          <w:sz w:val="40"/>
          <w:szCs w:val="44"/>
        </w:rPr>
      </w:pPr>
      <w:r>
        <w:rPr>
          <w:bCs/>
          <w:sz w:val="40"/>
          <w:szCs w:val="44"/>
        </w:rPr>
        <w:t xml:space="preserve">Using derivatives to manage currency and interest rate risk </w:t>
      </w:r>
    </w:p>
    <w:p w:rsidR="003D7899" w:rsidRDefault="003D7899" w:rsidP="003D7899">
      <w:pPr>
        <w:spacing w:before="480"/>
        <w:jc w:val="center"/>
        <w:rPr>
          <w:bCs/>
          <w:sz w:val="32"/>
        </w:rPr>
      </w:pPr>
      <w:r>
        <w:rPr>
          <w:bCs/>
          <w:sz w:val="32"/>
        </w:rPr>
        <w:t>Diplomová práce</w:t>
      </w:r>
    </w:p>
    <w:p w:rsidR="003D7899" w:rsidRDefault="003D7899" w:rsidP="003D7899">
      <w:pPr>
        <w:pStyle w:val="Zkladntext"/>
        <w:spacing w:before="3960"/>
        <w:jc w:val="left"/>
        <w:rPr>
          <w:sz w:val="26"/>
        </w:rPr>
      </w:pPr>
      <w:r>
        <w:rPr>
          <w:sz w:val="26"/>
        </w:rPr>
        <w:t>Vedoucí práce:</w:t>
      </w:r>
      <w:r>
        <w:rPr>
          <w:sz w:val="26"/>
        </w:rPr>
        <w:tab/>
      </w:r>
      <w:r>
        <w:rPr>
          <w:sz w:val="26"/>
        </w:rPr>
        <w:tab/>
      </w:r>
      <w:r>
        <w:rPr>
          <w:sz w:val="26"/>
        </w:rPr>
        <w:tab/>
      </w:r>
      <w:r>
        <w:rPr>
          <w:sz w:val="26"/>
        </w:rPr>
        <w:tab/>
      </w:r>
      <w:r>
        <w:rPr>
          <w:sz w:val="26"/>
        </w:rPr>
        <w:tab/>
      </w:r>
      <w:r>
        <w:rPr>
          <w:sz w:val="26"/>
        </w:rPr>
        <w:tab/>
        <w:t>Autor:</w:t>
      </w:r>
    </w:p>
    <w:p w:rsidR="003D7899" w:rsidRDefault="007A3165" w:rsidP="003D7899">
      <w:pPr>
        <w:pStyle w:val="Zkladntext"/>
        <w:jc w:val="left"/>
        <w:rPr>
          <w:caps/>
          <w:sz w:val="26"/>
        </w:rPr>
      </w:pPr>
      <w:r>
        <w:rPr>
          <w:sz w:val="26"/>
        </w:rPr>
        <w:t xml:space="preserve">Ing. </w:t>
      </w:r>
      <w:r w:rsidR="003D7899">
        <w:rPr>
          <w:sz w:val="26"/>
        </w:rPr>
        <w:t>Boris ŠTURC</w:t>
      </w:r>
      <w:r>
        <w:rPr>
          <w:sz w:val="26"/>
        </w:rPr>
        <w:t>, CSc.</w:t>
      </w:r>
      <w:r>
        <w:rPr>
          <w:sz w:val="26"/>
        </w:rPr>
        <w:tab/>
      </w:r>
      <w:r>
        <w:rPr>
          <w:sz w:val="26"/>
        </w:rPr>
        <w:tab/>
      </w:r>
      <w:r>
        <w:rPr>
          <w:sz w:val="26"/>
        </w:rPr>
        <w:tab/>
      </w:r>
      <w:r>
        <w:rPr>
          <w:sz w:val="26"/>
        </w:rPr>
        <w:tab/>
      </w:r>
      <w:r>
        <w:rPr>
          <w:sz w:val="26"/>
        </w:rPr>
        <w:tab/>
      </w:r>
      <w:r w:rsidR="003D7899">
        <w:rPr>
          <w:sz w:val="26"/>
        </w:rPr>
        <w:t>Veronika ŠNAPKOVÁ</w:t>
      </w:r>
    </w:p>
    <w:p w:rsidR="007A3165" w:rsidRDefault="003D7899" w:rsidP="003D7899">
      <w:pPr>
        <w:pStyle w:val="Zkladntext"/>
        <w:spacing w:before="1080"/>
        <w:jc w:val="center"/>
        <w:rPr>
          <w:sz w:val="26"/>
        </w:rPr>
      </w:pPr>
      <w:r>
        <w:rPr>
          <w:sz w:val="26"/>
        </w:rPr>
        <w:t>Brno, 2013</w:t>
      </w:r>
    </w:p>
    <w:p w:rsidR="007A3165" w:rsidRDefault="007A3165">
      <w:pPr>
        <w:suppressAutoHyphens w:val="0"/>
        <w:spacing w:after="200" w:line="276" w:lineRule="auto"/>
        <w:rPr>
          <w:sz w:val="26"/>
          <w:szCs w:val="20"/>
        </w:rPr>
      </w:pPr>
      <w:r>
        <w:rPr>
          <w:sz w:val="26"/>
        </w:rPr>
        <w:br w:type="page"/>
      </w:r>
    </w:p>
    <w:p w:rsidR="003D7899" w:rsidRDefault="003D7899" w:rsidP="003D7899">
      <w:pPr>
        <w:pStyle w:val="Zkladntext"/>
        <w:spacing w:before="1080"/>
        <w:jc w:val="center"/>
        <w:rPr>
          <w:sz w:val="26"/>
        </w:rPr>
      </w:pPr>
    </w:p>
    <w:p w:rsidR="003D7899" w:rsidRDefault="003D7899">
      <w:pPr>
        <w:suppressAutoHyphens w:val="0"/>
        <w:spacing w:after="200" w:line="276" w:lineRule="auto"/>
      </w:pPr>
      <w:r>
        <w:br w:type="page"/>
      </w:r>
    </w:p>
    <w:p w:rsidR="00246CF1" w:rsidRPr="00AB58F6" w:rsidRDefault="00246CF1" w:rsidP="00246CF1">
      <w:pPr>
        <w:jc w:val="center"/>
        <w:rPr>
          <w:b/>
          <w:bCs/>
        </w:rPr>
      </w:pPr>
      <w:r w:rsidRPr="00AB58F6">
        <w:rPr>
          <w:b/>
          <w:bCs/>
        </w:rPr>
        <w:lastRenderedPageBreak/>
        <w:t xml:space="preserve">Masarykova univerzita </w:t>
      </w:r>
    </w:p>
    <w:p w:rsidR="00246CF1" w:rsidRPr="00AB58F6" w:rsidRDefault="00246CF1" w:rsidP="00246CF1">
      <w:pPr>
        <w:jc w:val="center"/>
        <w:rPr>
          <w:b/>
          <w:bCs/>
        </w:rPr>
      </w:pPr>
      <w:r w:rsidRPr="00AB58F6">
        <w:rPr>
          <w:b/>
          <w:bCs/>
        </w:rPr>
        <w:t>Ekonomicko-správní fakulta</w:t>
      </w:r>
    </w:p>
    <w:p w:rsidR="00246CF1" w:rsidRPr="00AB58F6" w:rsidRDefault="00246CF1" w:rsidP="00246CF1"/>
    <w:p w:rsidR="00246CF1" w:rsidRDefault="00246CF1" w:rsidP="00246CF1"/>
    <w:p w:rsidR="00246CF1" w:rsidRPr="00AB58F6" w:rsidRDefault="00246CF1" w:rsidP="00246CF1"/>
    <w:p w:rsidR="00246CF1" w:rsidRPr="00AB58F6" w:rsidRDefault="00246CF1" w:rsidP="00246CF1">
      <w:pPr>
        <w:rPr>
          <w:b/>
          <w:bCs/>
        </w:rPr>
      </w:pPr>
      <w:r>
        <w:rPr>
          <w:b/>
          <w:bCs/>
        </w:rPr>
        <w:t>Katedra financí</w:t>
      </w:r>
    </w:p>
    <w:p w:rsidR="00246CF1" w:rsidRPr="00AB58F6" w:rsidRDefault="00246CF1" w:rsidP="00246CF1">
      <w:pPr>
        <w:rPr>
          <w:b/>
          <w:bCs/>
        </w:rPr>
      </w:pPr>
    </w:p>
    <w:p w:rsidR="00246CF1" w:rsidRPr="00AB58F6" w:rsidRDefault="00246CF1" w:rsidP="00246CF1">
      <w:r>
        <w:rPr>
          <w:b/>
          <w:bCs/>
        </w:rPr>
        <w:t>Akademický rok 2012/2013</w:t>
      </w:r>
      <w:r w:rsidRPr="00AB58F6">
        <w:t xml:space="preserve"> </w:t>
      </w:r>
    </w:p>
    <w:p w:rsidR="00246CF1" w:rsidRPr="00AB58F6" w:rsidRDefault="00246CF1" w:rsidP="00246CF1"/>
    <w:p w:rsidR="00246CF1" w:rsidRPr="00AB58F6" w:rsidRDefault="00246CF1" w:rsidP="00246CF1"/>
    <w:p w:rsidR="00246CF1" w:rsidRDefault="00246CF1" w:rsidP="00246CF1"/>
    <w:p w:rsidR="00246CF1" w:rsidRDefault="00246CF1" w:rsidP="00246CF1"/>
    <w:p w:rsidR="00246CF1" w:rsidRPr="00AB58F6" w:rsidRDefault="00246CF1" w:rsidP="00246CF1"/>
    <w:p w:rsidR="00246CF1" w:rsidRPr="00246CF1" w:rsidRDefault="00246CF1" w:rsidP="00246CF1">
      <w:pPr>
        <w:jc w:val="center"/>
        <w:rPr>
          <w:b/>
          <w:sz w:val="40"/>
        </w:rPr>
      </w:pPr>
      <w:r w:rsidRPr="00246CF1">
        <w:rPr>
          <w:b/>
          <w:sz w:val="40"/>
        </w:rPr>
        <w:t>ZADÁNÍ  DIPLOMOVÉ  PRÁCE</w:t>
      </w:r>
    </w:p>
    <w:p w:rsidR="00246CF1" w:rsidRPr="00AB58F6" w:rsidRDefault="00246CF1" w:rsidP="00246CF1"/>
    <w:p w:rsidR="00246CF1" w:rsidRDefault="00246CF1" w:rsidP="00246CF1"/>
    <w:p w:rsidR="00246CF1" w:rsidRPr="00AB58F6" w:rsidRDefault="00246CF1" w:rsidP="00246CF1"/>
    <w:p w:rsidR="00246CF1" w:rsidRPr="00AB58F6" w:rsidRDefault="00246CF1" w:rsidP="00246CF1"/>
    <w:p w:rsidR="00246CF1" w:rsidRPr="00AB58F6" w:rsidRDefault="00246CF1" w:rsidP="00246CF1">
      <w:pPr>
        <w:rPr>
          <w:b/>
          <w:bCs/>
        </w:rPr>
      </w:pPr>
      <w:r w:rsidRPr="00AB58F6">
        <w:rPr>
          <w:b/>
          <w:bCs/>
        </w:rPr>
        <w:t>Pro:</w:t>
      </w:r>
      <w:r w:rsidRPr="00AB58F6">
        <w:rPr>
          <w:b/>
          <w:bCs/>
        </w:rPr>
        <w:tab/>
      </w:r>
      <w:r w:rsidRPr="00AB58F6">
        <w:rPr>
          <w:b/>
          <w:bCs/>
        </w:rPr>
        <w:tab/>
      </w:r>
      <w:r w:rsidRPr="00AB58F6">
        <w:rPr>
          <w:b/>
          <w:bCs/>
        </w:rPr>
        <w:tab/>
      </w:r>
      <w:r>
        <w:rPr>
          <w:b/>
          <w:bCs/>
        </w:rPr>
        <w:tab/>
      </w:r>
      <w:r w:rsidRPr="0041135F">
        <w:rPr>
          <w:b/>
          <w:bCs/>
          <w:noProof/>
        </w:rPr>
        <w:t>ŠNAPKOVÁ</w:t>
      </w:r>
      <w:r>
        <w:rPr>
          <w:b/>
          <w:bCs/>
        </w:rPr>
        <w:t xml:space="preserve"> </w:t>
      </w:r>
      <w:r w:rsidRPr="0041135F">
        <w:rPr>
          <w:b/>
          <w:bCs/>
          <w:noProof/>
        </w:rPr>
        <w:t>Veronika</w:t>
      </w:r>
    </w:p>
    <w:p w:rsidR="00246CF1" w:rsidRPr="00AB58F6" w:rsidRDefault="00246CF1" w:rsidP="00246CF1"/>
    <w:p w:rsidR="00246CF1" w:rsidRPr="00AB58F6" w:rsidRDefault="00246CF1" w:rsidP="00246CF1">
      <w:pPr>
        <w:rPr>
          <w:b/>
          <w:bCs/>
        </w:rPr>
      </w:pPr>
      <w:r w:rsidRPr="00AB58F6">
        <w:rPr>
          <w:b/>
          <w:bCs/>
        </w:rPr>
        <w:t>Obor:</w:t>
      </w:r>
      <w:r w:rsidRPr="00AB58F6">
        <w:rPr>
          <w:b/>
          <w:bCs/>
        </w:rPr>
        <w:tab/>
      </w:r>
      <w:r w:rsidRPr="00AB58F6">
        <w:rPr>
          <w:b/>
          <w:bCs/>
        </w:rPr>
        <w:tab/>
      </w:r>
      <w:r w:rsidRPr="00AB58F6">
        <w:rPr>
          <w:b/>
          <w:bCs/>
        </w:rPr>
        <w:tab/>
      </w:r>
      <w:r>
        <w:rPr>
          <w:b/>
          <w:bCs/>
        </w:rPr>
        <w:tab/>
      </w:r>
      <w:r w:rsidRPr="0041135F">
        <w:rPr>
          <w:b/>
          <w:bCs/>
          <w:noProof/>
        </w:rPr>
        <w:t>Finance</w:t>
      </w:r>
    </w:p>
    <w:p w:rsidR="00246CF1" w:rsidRPr="00AB58F6" w:rsidRDefault="00246CF1" w:rsidP="00246CF1"/>
    <w:p w:rsidR="00246CF1" w:rsidRPr="00AB58F6" w:rsidRDefault="00246CF1" w:rsidP="00246CF1">
      <w:pPr>
        <w:ind w:left="2832" w:hanging="2832"/>
        <w:rPr>
          <w:b/>
          <w:bCs/>
        </w:rPr>
      </w:pPr>
      <w:r w:rsidRPr="00AB58F6">
        <w:rPr>
          <w:b/>
          <w:bCs/>
        </w:rPr>
        <w:t xml:space="preserve">Název tématu: </w:t>
      </w:r>
      <w:r w:rsidRPr="00AB58F6">
        <w:rPr>
          <w:b/>
          <w:bCs/>
        </w:rPr>
        <w:tab/>
      </w:r>
      <w:r w:rsidRPr="0041135F">
        <w:rPr>
          <w:b/>
          <w:bCs/>
          <w:noProof/>
        </w:rPr>
        <w:t>VYUŽITÍ DERIVÁTŮ PŘI ŘÍZENÍ MĚNOVÉHO A ÚROKOVÉHO RIZIKA</w:t>
      </w:r>
    </w:p>
    <w:p w:rsidR="00246CF1" w:rsidRPr="00AB58F6" w:rsidRDefault="00246CF1" w:rsidP="00246CF1">
      <w:pPr>
        <w:ind w:left="2124" w:hanging="2124"/>
      </w:pPr>
    </w:p>
    <w:p w:rsidR="00246CF1" w:rsidRPr="00AB58F6" w:rsidRDefault="00246CF1" w:rsidP="00246CF1">
      <w:pPr>
        <w:ind w:left="2124" w:hanging="2124"/>
        <w:rPr>
          <w:b/>
        </w:rPr>
      </w:pPr>
      <w:r w:rsidRPr="00AB58F6">
        <w:tab/>
      </w:r>
      <w:r>
        <w:tab/>
      </w:r>
      <w:r w:rsidRPr="0041135F">
        <w:rPr>
          <w:b/>
          <w:noProof/>
        </w:rPr>
        <w:t>Using derivatives to manage currency and interest rate risk</w:t>
      </w:r>
    </w:p>
    <w:p w:rsidR="00246CF1" w:rsidRPr="00AB58F6" w:rsidRDefault="00246CF1" w:rsidP="00246CF1">
      <w:pPr>
        <w:ind w:left="2124" w:hanging="2124"/>
      </w:pPr>
      <w:r>
        <w:tab/>
      </w:r>
      <w:r>
        <w:tab/>
      </w:r>
    </w:p>
    <w:p w:rsidR="00246CF1" w:rsidRPr="00AB58F6" w:rsidRDefault="00246CF1" w:rsidP="00246CF1">
      <w:pPr>
        <w:rPr>
          <w:rFonts w:eastAsia="Arial Unicode MS"/>
          <w:b/>
          <w:bCs/>
        </w:rPr>
      </w:pPr>
    </w:p>
    <w:p w:rsidR="00246CF1" w:rsidRDefault="00246CF1" w:rsidP="00246CF1">
      <w:pPr>
        <w:rPr>
          <w:sz w:val="28"/>
        </w:rPr>
      </w:pPr>
    </w:p>
    <w:p w:rsidR="00246CF1" w:rsidRPr="00C0620E" w:rsidRDefault="00246CF1" w:rsidP="00246CF1">
      <w:pPr>
        <w:ind w:left="2124" w:firstLine="708"/>
        <w:rPr>
          <w:b/>
          <w:bCs/>
          <w:spacing w:val="60"/>
          <w:sz w:val="28"/>
        </w:rPr>
      </w:pPr>
      <w:r w:rsidRPr="00C0620E">
        <w:rPr>
          <w:b/>
          <w:bCs/>
          <w:spacing w:val="60"/>
          <w:sz w:val="28"/>
        </w:rPr>
        <w:t>Zásady pro vypracování:</w:t>
      </w:r>
    </w:p>
    <w:p w:rsidR="00246CF1" w:rsidRPr="00AB58F6" w:rsidRDefault="00246CF1" w:rsidP="00246CF1">
      <w:pPr>
        <w:jc w:val="center"/>
      </w:pPr>
    </w:p>
    <w:p w:rsidR="00246CF1" w:rsidRDefault="00246CF1" w:rsidP="00246CF1"/>
    <w:p w:rsidR="00246CF1" w:rsidRDefault="00246CF1" w:rsidP="00246CF1"/>
    <w:p w:rsidR="00246CF1" w:rsidRPr="00AB58F6" w:rsidRDefault="00246CF1" w:rsidP="00246CF1"/>
    <w:p w:rsidR="00246CF1" w:rsidRDefault="00246CF1" w:rsidP="00246CF1">
      <w:pPr>
        <w:rPr>
          <w:b/>
          <w:bCs/>
        </w:rPr>
      </w:pPr>
      <w:r>
        <w:rPr>
          <w:b/>
          <w:bCs/>
        </w:rPr>
        <w:t xml:space="preserve">Cíl práce: </w:t>
      </w:r>
    </w:p>
    <w:p w:rsidR="00246CF1" w:rsidRPr="00A042BC" w:rsidRDefault="00246CF1" w:rsidP="00246CF1">
      <w:pPr>
        <w:rPr>
          <w:bCs/>
        </w:rPr>
      </w:pPr>
      <w:r w:rsidRPr="00A042BC">
        <w:rPr>
          <w:bCs/>
        </w:rPr>
        <w:t>Cílem práce je analýza využití derivátů při řízení měnového a úrokového rizika a řešení konkrétního příkladu.</w:t>
      </w:r>
    </w:p>
    <w:p w:rsidR="00246CF1" w:rsidRDefault="00246CF1" w:rsidP="00246CF1">
      <w:pPr>
        <w:rPr>
          <w:b/>
          <w:bCs/>
        </w:rPr>
      </w:pPr>
    </w:p>
    <w:p w:rsidR="00246CF1" w:rsidRDefault="00246CF1" w:rsidP="00246CF1">
      <w:pPr>
        <w:rPr>
          <w:b/>
          <w:bCs/>
        </w:rPr>
      </w:pPr>
    </w:p>
    <w:p w:rsidR="00246CF1" w:rsidRPr="00AB58F6" w:rsidRDefault="00246CF1" w:rsidP="00246CF1">
      <w:r>
        <w:rPr>
          <w:b/>
          <w:bCs/>
        </w:rPr>
        <w:t>Postup práce a použité metody</w:t>
      </w:r>
      <w:r w:rsidRPr="00AB58F6">
        <w:rPr>
          <w:b/>
          <w:bCs/>
        </w:rPr>
        <w:t>:</w:t>
      </w:r>
    </w:p>
    <w:p w:rsidR="00246CF1" w:rsidRDefault="00246CF1" w:rsidP="00246CF1">
      <w:pPr>
        <w:jc w:val="both"/>
      </w:pPr>
      <w:r>
        <w:t xml:space="preserve">Výběr vhodných derivátů, možnosti jejich využití při řízení měnového a úrokového rizika, návrh konkrétního příkladu. </w:t>
      </w:r>
    </w:p>
    <w:p w:rsidR="00246CF1" w:rsidRDefault="00246CF1" w:rsidP="00246CF1">
      <w:pPr>
        <w:jc w:val="both"/>
      </w:pPr>
      <w:r>
        <w:t xml:space="preserve">Použité metody: </w:t>
      </w:r>
    </w:p>
    <w:p w:rsidR="00246CF1" w:rsidRDefault="00246CF1" w:rsidP="00246CF1">
      <w:pPr>
        <w:jc w:val="both"/>
      </w:pPr>
      <w:r>
        <w:t xml:space="preserve">Analýza, syntéza, komparace. </w:t>
      </w:r>
    </w:p>
    <w:p w:rsidR="00246CF1" w:rsidRDefault="00246CF1" w:rsidP="00246CF1">
      <w:pPr>
        <w:jc w:val="both"/>
      </w:pPr>
    </w:p>
    <w:p w:rsidR="00246CF1" w:rsidRDefault="00246CF1" w:rsidP="00246CF1">
      <w:pPr>
        <w:jc w:val="both"/>
      </w:pPr>
    </w:p>
    <w:p w:rsidR="00246CF1" w:rsidRPr="00631E68" w:rsidRDefault="00246CF1" w:rsidP="00246CF1">
      <w:pPr>
        <w:jc w:val="both"/>
      </w:pPr>
      <w:r>
        <w:br w:type="page"/>
      </w:r>
      <w:r w:rsidRPr="00AB58F6">
        <w:rPr>
          <w:b/>
          <w:bCs/>
        </w:rPr>
        <w:lastRenderedPageBreak/>
        <w:t>Rozsah grafických prací:</w:t>
      </w:r>
      <w:r w:rsidRPr="00AB58F6">
        <w:tab/>
      </w:r>
      <w:r w:rsidRPr="00AB58F6">
        <w:tab/>
      </w:r>
      <w:r w:rsidRPr="00AB58F6">
        <w:tab/>
      </w:r>
      <w:r>
        <w:t>dle pokynů vedoucího práce</w:t>
      </w:r>
    </w:p>
    <w:p w:rsidR="00246CF1" w:rsidRPr="00AB58F6" w:rsidRDefault="00246CF1" w:rsidP="00246CF1"/>
    <w:p w:rsidR="00246CF1" w:rsidRPr="00AB58F6" w:rsidRDefault="00246CF1" w:rsidP="00246CF1"/>
    <w:p w:rsidR="00246CF1" w:rsidRPr="00AB58F6" w:rsidRDefault="00246CF1" w:rsidP="00246CF1">
      <w:r w:rsidRPr="00AB58F6">
        <w:rPr>
          <w:b/>
          <w:bCs/>
        </w:rPr>
        <w:t>Rozsah práce bez příloh:</w:t>
      </w:r>
      <w:r w:rsidRPr="00AB58F6">
        <w:tab/>
      </w:r>
      <w:r w:rsidRPr="00AB58F6">
        <w:tab/>
      </w:r>
      <w:r w:rsidRPr="00AB58F6">
        <w:tab/>
      </w:r>
      <w:r>
        <w:t>60 – 80</w:t>
      </w:r>
      <w:r w:rsidRPr="00AB58F6">
        <w:t xml:space="preserve"> stran</w:t>
      </w:r>
    </w:p>
    <w:p w:rsidR="00246CF1" w:rsidRDefault="00246CF1" w:rsidP="00246CF1"/>
    <w:p w:rsidR="00246CF1" w:rsidRPr="00AB58F6" w:rsidRDefault="00246CF1" w:rsidP="00246CF1"/>
    <w:p w:rsidR="00246CF1" w:rsidRPr="00AB58F6" w:rsidRDefault="00246CF1" w:rsidP="00246CF1">
      <w:r w:rsidRPr="00AB58F6">
        <w:rPr>
          <w:b/>
          <w:bCs/>
        </w:rPr>
        <w:t>Seznam odborné literatury:</w:t>
      </w:r>
    </w:p>
    <w:p w:rsidR="00246CF1" w:rsidRDefault="00246CF1" w:rsidP="00246CF1">
      <w:pPr>
        <w:spacing w:before="100" w:beforeAutospacing="1" w:after="48"/>
      </w:pPr>
      <w:r>
        <w:t xml:space="preserve">BLAKE, David. </w:t>
      </w:r>
      <w:r>
        <w:rPr>
          <w:i/>
          <w:iCs/>
        </w:rPr>
        <w:t>Analýza finančních trhů</w:t>
      </w:r>
      <w:r>
        <w:t xml:space="preserve">. 1. vyd. Praha: Grada, 1995. 623 s. ISBN 8071692018. </w:t>
      </w:r>
      <w:r>
        <w:br/>
        <w:t xml:space="preserve">HULL, John. </w:t>
      </w:r>
      <w:r>
        <w:rPr>
          <w:i/>
          <w:iCs/>
        </w:rPr>
        <w:t>Options, futures, and other derivatives</w:t>
      </w:r>
      <w:r>
        <w:t xml:space="preserve">. 8th ed. Boston, [Mass.]: Pearson, 2012. xxi, 847 s. ISBN 9780273759072. </w:t>
      </w:r>
    </w:p>
    <w:p w:rsidR="00246CF1" w:rsidRDefault="00246CF1" w:rsidP="00246CF1"/>
    <w:p w:rsidR="00246CF1" w:rsidRPr="00AB58F6" w:rsidRDefault="00246CF1" w:rsidP="00246CF1"/>
    <w:p w:rsidR="00246CF1" w:rsidRDefault="00246CF1" w:rsidP="00246CF1"/>
    <w:p w:rsidR="00246CF1" w:rsidRPr="00AB58F6" w:rsidRDefault="00246CF1" w:rsidP="00246CF1">
      <w:pPr>
        <w:rPr>
          <w:b/>
          <w:bCs/>
        </w:rPr>
      </w:pPr>
      <w:r w:rsidRPr="00AB58F6">
        <w:rPr>
          <w:b/>
          <w:bCs/>
        </w:rPr>
        <w:t xml:space="preserve">Vedoucí </w:t>
      </w:r>
      <w:r>
        <w:rPr>
          <w:b/>
          <w:bCs/>
        </w:rPr>
        <w:t xml:space="preserve">diplomové </w:t>
      </w:r>
      <w:r w:rsidRPr="00AB58F6">
        <w:rPr>
          <w:b/>
          <w:bCs/>
        </w:rPr>
        <w:t xml:space="preserve"> práce: </w:t>
      </w:r>
      <w:r w:rsidRPr="00AB58F6">
        <w:rPr>
          <w:b/>
          <w:bCs/>
        </w:rPr>
        <w:tab/>
      </w:r>
      <w:r w:rsidRPr="00AB58F6">
        <w:rPr>
          <w:b/>
          <w:bCs/>
        </w:rPr>
        <w:tab/>
      </w:r>
      <w:r w:rsidRPr="00AB58F6">
        <w:rPr>
          <w:b/>
          <w:bCs/>
        </w:rPr>
        <w:tab/>
      </w:r>
      <w:r w:rsidRPr="00AB58F6">
        <w:rPr>
          <w:b/>
          <w:bCs/>
        </w:rPr>
        <w:tab/>
      </w:r>
      <w:smartTag w:uri="urn:schemas-microsoft-com:office:smarttags" w:element="PersonName">
        <w:smartTagPr>
          <w:attr w:name="ProductID" w:val="Ing. Boris"/>
        </w:smartTagPr>
        <w:r w:rsidRPr="0041135F">
          <w:rPr>
            <w:b/>
            <w:bCs/>
            <w:noProof/>
          </w:rPr>
          <w:t>Ing. Boris</w:t>
        </w:r>
      </w:smartTag>
      <w:r w:rsidRPr="0041135F">
        <w:rPr>
          <w:b/>
          <w:bCs/>
          <w:noProof/>
        </w:rPr>
        <w:t xml:space="preserve"> Šturc, CSc.</w:t>
      </w:r>
      <w:r w:rsidRPr="00AB58F6">
        <w:rPr>
          <w:b/>
          <w:bCs/>
        </w:rPr>
        <w:tab/>
      </w:r>
      <w:r w:rsidRPr="00AB58F6">
        <w:rPr>
          <w:b/>
          <w:bCs/>
        </w:rPr>
        <w:tab/>
      </w:r>
    </w:p>
    <w:p w:rsidR="00246CF1" w:rsidRDefault="00246CF1" w:rsidP="00246CF1"/>
    <w:p w:rsidR="00246CF1" w:rsidRPr="00AB58F6" w:rsidRDefault="00246CF1" w:rsidP="00246CF1"/>
    <w:p w:rsidR="00246CF1" w:rsidRPr="00AB58F6" w:rsidRDefault="00246CF1" w:rsidP="00246CF1"/>
    <w:p w:rsidR="00246CF1" w:rsidRDefault="00246CF1" w:rsidP="00246CF1">
      <w:pPr>
        <w:rPr>
          <w:bCs/>
        </w:rPr>
      </w:pPr>
      <w:r w:rsidRPr="00AB58F6">
        <w:rPr>
          <w:b/>
          <w:bCs/>
        </w:rPr>
        <w:t xml:space="preserve">Datum zadání </w:t>
      </w:r>
      <w:r>
        <w:rPr>
          <w:b/>
          <w:bCs/>
        </w:rPr>
        <w:t>diplomové</w:t>
      </w:r>
      <w:r w:rsidRPr="00AB58F6">
        <w:rPr>
          <w:b/>
          <w:bCs/>
        </w:rPr>
        <w:t xml:space="preserve"> práce:</w:t>
      </w:r>
      <w:r w:rsidRPr="00AB58F6">
        <w:tab/>
      </w:r>
      <w:r w:rsidRPr="00AB58F6">
        <w:tab/>
      </w:r>
      <w:r w:rsidRPr="00AB58F6">
        <w:tab/>
      </w:r>
      <w:r w:rsidRPr="003B63FD">
        <w:rPr>
          <w:b/>
        </w:rPr>
        <w:t>5</w:t>
      </w:r>
      <w:r w:rsidRPr="00E13632">
        <w:rPr>
          <w:b/>
          <w:bCs/>
        </w:rPr>
        <w:t>.</w:t>
      </w:r>
      <w:r w:rsidRPr="00AB58F6">
        <w:rPr>
          <w:b/>
          <w:bCs/>
        </w:rPr>
        <w:t xml:space="preserve"> </w:t>
      </w:r>
      <w:r>
        <w:rPr>
          <w:b/>
          <w:bCs/>
        </w:rPr>
        <w:t>3</w:t>
      </w:r>
      <w:r w:rsidRPr="00AB58F6">
        <w:rPr>
          <w:b/>
          <w:bCs/>
        </w:rPr>
        <w:t>. 20</w:t>
      </w:r>
      <w:r>
        <w:rPr>
          <w:b/>
          <w:bCs/>
        </w:rPr>
        <w:t>12</w:t>
      </w:r>
      <w:r w:rsidRPr="00AC0A9C">
        <w:rPr>
          <w:bCs/>
        </w:rPr>
        <w:t xml:space="preserve"> </w:t>
      </w:r>
    </w:p>
    <w:p w:rsidR="00246CF1" w:rsidRDefault="00246CF1" w:rsidP="00246CF1"/>
    <w:p w:rsidR="00246CF1" w:rsidRDefault="00246CF1" w:rsidP="00246CF1"/>
    <w:p w:rsidR="00246CF1" w:rsidRPr="00AB58F6" w:rsidRDefault="00246CF1" w:rsidP="00246CF1"/>
    <w:p w:rsidR="00246CF1" w:rsidRPr="00AC0A9C" w:rsidRDefault="00246CF1" w:rsidP="00246CF1">
      <w:r w:rsidRPr="00AC0A9C">
        <w:rPr>
          <w:b/>
          <w:bCs/>
        </w:rPr>
        <w:t>Termín odevzdání diplomové práce a vložení do IS je uveden v platném harmonogramu akademického roku.</w:t>
      </w:r>
      <w:r w:rsidRPr="00AC0A9C">
        <w:t> </w:t>
      </w:r>
    </w:p>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r w:rsidRPr="00AB58F6">
        <w:t xml:space="preserve">…………………………………… </w:t>
      </w:r>
      <w:r w:rsidRPr="00AB58F6">
        <w:tab/>
      </w:r>
      <w:r w:rsidRPr="00AB58F6">
        <w:tab/>
      </w:r>
      <w:r w:rsidRPr="00AB58F6">
        <w:tab/>
        <w:t>…………………………………………</w:t>
      </w:r>
    </w:p>
    <w:p w:rsidR="00246CF1" w:rsidRPr="00AB58F6" w:rsidRDefault="00246CF1" w:rsidP="00246CF1">
      <w:pPr>
        <w:rPr>
          <w:b/>
        </w:rPr>
      </w:pPr>
      <w:r w:rsidRPr="00AB58F6">
        <w:rPr>
          <w:b/>
        </w:rPr>
        <w:t xml:space="preserve">              vedoucí katedry</w:t>
      </w:r>
      <w:r w:rsidRPr="00AB58F6">
        <w:rPr>
          <w:b/>
          <w:i/>
        </w:rPr>
        <w:tab/>
      </w:r>
      <w:r w:rsidRPr="00AB58F6">
        <w:rPr>
          <w:b/>
          <w:i/>
        </w:rPr>
        <w:tab/>
      </w:r>
      <w:r w:rsidRPr="00AB58F6">
        <w:rPr>
          <w:b/>
          <w:i/>
        </w:rPr>
        <w:tab/>
      </w:r>
      <w:r w:rsidRPr="00AB58F6">
        <w:rPr>
          <w:b/>
          <w:i/>
        </w:rPr>
        <w:tab/>
      </w:r>
      <w:r w:rsidRPr="00AB58F6">
        <w:rPr>
          <w:b/>
          <w:i/>
        </w:rPr>
        <w:tab/>
      </w:r>
      <w:r w:rsidRPr="00AB58F6">
        <w:rPr>
          <w:b/>
        </w:rPr>
        <w:t xml:space="preserve">             děkan</w:t>
      </w:r>
    </w:p>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B58F6" w:rsidRDefault="00246CF1" w:rsidP="00246CF1"/>
    <w:p w:rsidR="00246CF1" w:rsidRPr="00A042BC" w:rsidRDefault="00246CF1" w:rsidP="00246CF1">
      <w:pPr>
        <w:rPr>
          <w:b/>
        </w:rPr>
      </w:pPr>
      <w:r w:rsidRPr="00A042BC">
        <w:rPr>
          <w:b/>
        </w:rPr>
        <w:t>V Brně dne  5</w:t>
      </w:r>
      <w:r w:rsidRPr="00A042BC">
        <w:rPr>
          <w:b/>
          <w:bCs/>
        </w:rPr>
        <w:t>. 3. 2012</w:t>
      </w:r>
    </w:p>
    <w:p w:rsidR="00246CF1" w:rsidRDefault="00246CF1">
      <w:pPr>
        <w:suppressAutoHyphens w:val="0"/>
        <w:spacing w:after="200" w:line="276" w:lineRule="auto"/>
        <w:rPr>
          <w:bCs/>
          <w:spacing w:val="24"/>
          <w:szCs w:val="20"/>
        </w:rPr>
      </w:pPr>
      <w:r>
        <w:rPr>
          <w:bCs/>
          <w:spacing w:val="24"/>
        </w:rPr>
        <w:br w:type="page"/>
      </w:r>
    </w:p>
    <w:p w:rsidR="001C147F" w:rsidRDefault="001C147F" w:rsidP="001C147F">
      <w:pPr>
        <w:pStyle w:val="Zkladntext"/>
        <w:pageBreakBefore/>
        <w:spacing w:line="276" w:lineRule="auto"/>
        <w:jc w:val="left"/>
        <w:rPr>
          <w:bCs/>
        </w:rPr>
      </w:pPr>
      <w:r>
        <w:rPr>
          <w:bCs/>
          <w:spacing w:val="24"/>
        </w:rPr>
        <w:lastRenderedPageBreak/>
        <w:t>Jméno a příjmení autora:</w:t>
      </w:r>
      <w:r>
        <w:rPr>
          <w:bCs/>
        </w:rPr>
        <w:tab/>
        <w:t>Veronika Šnapková</w:t>
      </w:r>
    </w:p>
    <w:p w:rsidR="001C147F" w:rsidRDefault="001C147F" w:rsidP="001C147F">
      <w:pPr>
        <w:pStyle w:val="Zkladntext"/>
        <w:spacing w:line="276" w:lineRule="auto"/>
        <w:rPr>
          <w:bCs/>
        </w:rPr>
      </w:pPr>
      <w:r>
        <w:rPr>
          <w:bCs/>
          <w:spacing w:val="24"/>
        </w:rPr>
        <w:t>Název diplomové práce:</w:t>
      </w:r>
      <w:r>
        <w:rPr>
          <w:bCs/>
        </w:rPr>
        <w:t xml:space="preserve"> </w:t>
      </w:r>
      <w:r>
        <w:rPr>
          <w:bCs/>
        </w:rPr>
        <w:tab/>
        <w:t>Využití derivátů při řízení měnového a úrokového rizika</w:t>
      </w:r>
    </w:p>
    <w:p w:rsidR="001C147F" w:rsidRDefault="001C147F" w:rsidP="001C147F">
      <w:pPr>
        <w:pStyle w:val="Zkladntext"/>
        <w:spacing w:line="276" w:lineRule="auto"/>
        <w:ind w:left="3540" w:hanging="3540"/>
        <w:rPr>
          <w:szCs w:val="24"/>
        </w:rPr>
      </w:pPr>
      <w:r>
        <w:rPr>
          <w:bCs/>
          <w:spacing w:val="24"/>
        </w:rPr>
        <w:t>Název práce v angličtině:</w:t>
      </w:r>
      <w:r>
        <w:rPr>
          <w:bCs/>
        </w:rPr>
        <w:t xml:space="preserve"> </w:t>
      </w:r>
      <w:r>
        <w:rPr>
          <w:bCs/>
        </w:rPr>
        <w:tab/>
      </w:r>
      <w:r w:rsidRPr="0082334D">
        <w:rPr>
          <w:szCs w:val="24"/>
          <w:lang w:val="en-US"/>
        </w:rPr>
        <w:t>Using derivatives to manage currency and interest rate risk</w:t>
      </w:r>
    </w:p>
    <w:p w:rsidR="001C147F" w:rsidRDefault="001C147F" w:rsidP="001C147F">
      <w:pPr>
        <w:pStyle w:val="Zkladntext"/>
        <w:spacing w:line="276" w:lineRule="auto"/>
        <w:rPr>
          <w:bCs/>
        </w:rPr>
      </w:pPr>
      <w:r>
        <w:rPr>
          <w:bCs/>
          <w:spacing w:val="24"/>
        </w:rPr>
        <w:t>Katedra:</w:t>
      </w:r>
      <w:r>
        <w:rPr>
          <w:bCs/>
        </w:rPr>
        <w:tab/>
      </w:r>
      <w:r>
        <w:rPr>
          <w:bCs/>
        </w:rPr>
        <w:tab/>
      </w:r>
      <w:r>
        <w:rPr>
          <w:bCs/>
        </w:rPr>
        <w:tab/>
      </w:r>
      <w:r>
        <w:rPr>
          <w:bCs/>
        </w:rPr>
        <w:tab/>
        <w:t>Katedra financí</w:t>
      </w:r>
    </w:p>
    <w:p w:rsidR="001C147F" w:rsidRDefault="001C147F" w:rsidP="001C147F">
      <w:pPr>
        <w:pStyle w:val="Zkladntext"/>
        <w:spacing w:line="276" w:lineRule="auto"/>
        <w:rPr>
          <w:bCs/>
        </w:rPr>
      </w:pPr>
      <w:r>
        <w:rPr>
          <w:bCs/>
          <w:spacing w:val="24"/>
        </w:rPr>
        <w:t>Vedoucí diplomové práce:</w:t>
      </w:r>
      <w:r>
        <w:rPr>
          <w:bCs/>
        </w:rPr>
        <w:tab/>
        <w:t>Ing. Boris Šturc, CSc.</w:t>
      </w:r>
    </w:p>
    <w:p w:rsidR="001C147F" w:rsidRDefault="001C147F" w:rsidP="001C147F">
      <w:pPr>
        <w:pStyle w:val="Zkladntext"/>
        <w:spacing w:line="276" w:lineRule="auto"/>
        <w:rPr>
          <w:bCs/>
          <w:color w:val="FF0000"/>
        </w:rPr>
      </w:pPr>
      <w:r>
        <w:rPr>
          <w:bCs/>
          <w:spacing w:val="24"/>
        </w:rPr>
        <w:t>Rok obhajoby:</w:t>
      </w:r>
      <w:r>
        <w:rPr>
          <w:bCs/>
        </w:rPr>
        <w:t xml:space="preserve"> </w:t>
      </w:r>
      <w:r>
        <w:rPr>
          <w:bCs/>
        </w:rPr>
        <w:tab/>
      </w:r>
      <w:r>
        <w:rPr>
          <w:bCs/>
        </w:rPr>
        <w:tab/>
      </w:r>
      <w:r>
        <w:rPr>
          <w:bCs/>
        </w:rPr>
        <w:tab/>
      </w:r>
      <w:r w:rsidRPr="001C147F">
        <w:rPr>
          <w:bCs/>
        </w:rPr>
        <w:t>2013</w:t>
      </w:r>
    </w:p>
    <w:p w:rsidR="001C147F" w:rsidRDefault="001C147F" w:rsidP="001C147F">
      <w:pPr>
        <w:pStyle w:val="Zkladntext"/>
        <w:spacing w:line="276" w:lineRule="auto"/>
      </w:pPr>
    </w:p>
    <w:p w:rsidR="001C147F" w:rsidRPr="00464B80" w:rsidRDefault="001C147F" w:rsidP="001C147F">
      <w:pPr>
        <w:pStyle w:val="Titulek1"/>
        <w:spacing w:after="240" w:line="276" w:lineRule="auto"/>
        <w:rPr>
          <w:rFonts w:ascii="Times New Roman" w:hAnsi="Times New Roman"/>
        </w:rPr>
      </w:pPr>
      <w:r w:rsidRPr="00464B80">
        <w:rPr>
          <w:rFonts w:ascii="Times New Roman" w:hAnsi="Times New Roman"/>
        </w:rPr>
        <w:t>Anotace</w:t>
      </w:r>
    </w:p>
    <w:p w:rsidR="001C147F" w:rsidRPr="0082334D" w:rsidRDefault="006D01FC" w:rsidP="001C147F">
      <w:pPr>
        <w:pStyle w:val="Zkladntext"/>
        <w:spacing w:after="240" w:line="276" w:lineRule="auto"/>
      </w:pPr>
      <w:r>
        <w:t>Předmětem této diplomové</w:t>
      </w:r>
      <w:r w:rsidR="0046182F">
        <w:t xml:space="preserve"> práce</w:t>
      </w:r>
      <w:r w:rsidR="0082334D">
        <w:t xml:space="preserve"> </w:t>
      </w:r>
      <w:r>
        <w:t xml:space="preserve">je analýza jednotlivých </w:t>
      </w:r>
      <w:r w:rsidR="00F06053">
        <w:t xml:space="preserve">druhů </w:t>
      </w:r>
      <w:r>
        <w:t xml:space="preserve">finančních derivátů v souvislosti se zajištěním proti měnovému a úrokovému riziku. </w:t>
      </w:r>
      <w:r w:rsidR="00B92EDA">
        <w:t>Teoretická část</w:t>
      </w:r>
      <w:r w:rsidR="00246CF1">
        <w:t xml:space="preserve"> práce</w:t>
      </w:r>
      <w:r w:rsidR="0082334D">
        <w:t xml:space="preserve"> </w:t>
      </w:r>
      <w:r w:rsidR="00246CF1">
        <w:t>obsahuje</w:t>
      </w:r>
      <w:r w:rsidR="0082334D">
        <w:t xml:space="preserve"> </w:t>
      </w:r>
      <w:r w:rsidR="00F06053">
        <w:t>charakteristiku</w:t>
      </w:r>
      <w:r>
        <w:t xml:space="preserve"> </w:t>
      </w:r>
      <w:r w:rsidR="00F06053">
        <w:t xml:space="preserve">měnových a úrokových forwardů, futures, swapů a opcí. </w:t>
      </w:r>
      <w:r w:rsidR="0082334D">
        <w:t>Ze</w:t>
      </w:r>
      <w:r w:rsidR="00246CF1">
        <w:t> </w:t>
      </w:r>
      <w:r w:rsidR="0082334D">
        <w:t>získaných</w:t>
      </w:r>
      <w:r w:rsidR="00F06053">
        <w:t xml:space="preserve"> teoretických</w:t>
      </w:r>
      <w:r w:rsidR="0082334D">
        <w:t xml:space="preserve"> poznatků následně vychází </w:t>
      </w:r>
      <w:r w:rsidR="00A151D0">
        <w:t>demonstrace</w:t>
      </w:r>
      <w:r w:rsidR="00F06053">
        <w:t xml:space="preserve"> jednotlivých možností zajištění v praktické části</w:t>
      </w:r>
      <w:r w:rsidR="00A151D0">
        <w:t xml:space="preserve">, </w:t>
      </w:r>
      <w:r w:rsidR="00F06053">
        <w:t xml:space="preserve">jejich srovnání </w:t>
      </w:r>
      <w:r w:rsidR="00A151D0">
        <w:t>a</w:t>
      </w:r>
      <w:r w:rsidR="0046182F">
        <w:t xml:space="preserve"> zhodnocení</w:t>
      </w:r>
      <w:r w:rsidR="00F06053">
        <w:t>.</w:t>
      </w:r>
      <w:r w:rsidR="0046182F">
        <w:t xml:space="preserve"> </w:t>
      </w:r>
    </w:p>
    <w:p w:rsidR="001C147F" w:rsidRPr="00464B80" w:rsidRDefault="001C147F" w:rsidP="001C147F">
      <w:pPr>
        <w:pStyle w:val="Titulek1"/>
        <w:spacing w:after="240" w:line="276" w:lineRule="auto"/>
        <w:rPr>
          <w:rFonts w:ascii="Times New Roman" w:hAnsi="Times New Roman"/>
          <w:lang w:val="en-US"/>
        </w:rPr>
      </w:pPr>
      <w:r w:rsidRPr="00464B80">
        <w:rPr>
          <w:rFonts w:ascii="Times New Roman" w:hAnsi="Times New Roman"/>
          <w:lang w:val="en-US"/>
        </w:rPr>
        <w:t>Annotation</w:t>
      </w:r>
    </w:p>
    <w:p w:rsidR="00741E7C" w:rsidRPr="00741E7C" w:rsidRDefault="00741E7C" w:rsidP="001C147F">
      <w:pPr>
        <w:pStyle w:val="Zkladntext"/>
        <w:spacing w:after="240" w:line="276" w:lineRule="auto"/>
        <w:rPr>
          <w:lang w:val="en-US"/>
        </w:rPr>
      </w:pPr>
      <w:r w:rsidRPr="00741E7C">
        <w:rPr>
          <w:lang w:val="en-US"/>
        </w:rPr>
        <w:t>Th</w:t>
      </w:r>
      <w:r>
        <w:rPr>
          <w:lang w:val="en-US"/>
        </w:rPr>
        <w:t>e aim of the thesis is to analyz</w:t>
      </w:r>
      <w:r w:rsidRPr="00741E7C">
        <w:rPr>
          <w:lang w:val="en-US"/>
        </w:rPr>
        <w:t xml:space="preserve">e particular types of financial derivatives considering hedging against </w:t>
      </w:r>
      <w:r w:rsidR="002E112F">
        <w:rPr>
          <w:lang w:val="en-US"/>
        </w:rPr>
        <w:t>currency</w:t>
      </w:r>
      <w:r w:rsidRPr="00741E7C">
        <w:rPr>
          <w:lang w:val="en-US"/>
        </w:rPr>
        <w:t xml:space="preserve"> risk and interest rate risk. </w:t>
      </w:r>
      <w:r w:rsidR="00C00C85">
        <w:rPr>
          <w:lang w:val="en-US"/>
        </w:rPr>
        <w:t xml:space="preserve">The </w:t>
      </w:r>
      <w:r w:rsidR="00B92EDA">
        <w:rPr>
          <w:lang w:val="en-US"/>
        </w:rPr>
        <w:t>theoretical part</w:t>
      </w:r>
      <w:r w:rsidR="00C00C85">
        <w:rPr>
          <w:lang w:val="en-US"/>
        </w:rPr>
        <w:t xml:space="preserve"> of the thesis</w:t>
      </w:r>
      <w:r w:rsidRPr="00741E7C">
        <w:rPr>
          <w:lang w:val="en-US"/>
        </w:rPr>
        <w:t xml:space="preserve"> include</w:t>
      </w:r>
      <w:r w:rsidR="00C00C85">
        <w:rPr>
          <w:lang w:val="en-US"/>
        </w:rPr>
        <w:t>s</w:t>
      </w:r>
      <w:r w:rsidRPr="00741E7C">
        <w:rPr>
          <w:lang w:val="en-US"/>
        </w:rPr>
        <w:t xml:space="preserve"> the characteristics of </w:t>
      </w:r>
      <w:r w:rsidR="002E112F">
        <w:rPr>
          <w:lang w:val="en-US"/>
        </w:rPr>
        <w:t>currency</w:t>
      </w:r>
      <w:r w:rsidRPr="00741E7C">
        <w:rPr>
          <w:lang w:val="en-US"/>
        </w:rPr>
        <w:t xml:space="preserve"> and interest rate forwards, futures, swaps and options. The</w:t>
      </w:r>
      <w:r w:rsidR="002E112F">
        <w:rPr>
          <w:lang w:val="en-US"/>
        </w:rPr>
        <w:t> </w:t>
      </w:r>
      <w:r w:rsidRPr="00741E7C">
        <w:rPr>
          <w:lang w:val="en-US"/>
        </w:rPr>
        <w:t>preceding theoretical findings subsequently help to present possibilities of hedging, their comparison and evaluation in the practical part of the thesis.</w:t>
      </w:r>
    </w:p>
    <w:p w:rsidR="001C147F" w:rsidRPr="00464B80" w:rsidRDefault="001C147F" w:rsidP="001C147F">
      <w:pPr>
        <w:pStyle w:val="Titulek1"/>
        <w:spacing w:after="240" w:line="276" w:lineRule="auto"/>
        <w:rPr>
          <w:rFonts w:ascii="Times New Roman" w:hAnsi="Times New Roman"/>
        </w:rPr>
      </w:pPr>
      <w:r w:rsidRPr="00464B80">
        <w:rPr>
          <w:rFonts w:ascii="Times New Roman" w:hAnsi="Times New Roman"/>
        </w:rPr>
        <w:t>Klíčová slova</w:t>
      </w:r>
    </w:p>
    <w:p w:rsidR="00464B80" w:rsidRPr="00464B80" w:rsidRDefault="00464B80" w:rsidP="001C147F">
      <w:pPr>
        <w:pStyle w:val="Titulek1"/>
        <w:spacing w:after="240" w:line="276" w:lineRule="auto"/>
        <w:rPr>
          <w:rFonts w:ascii="Times New Roman" w:hAnsi="Times New Roman"/>
          <w:b w:val="0"/>
          <w:sz w:val="24"/>
        </w:rPr>
      </w:pPr>
      <w:r w:rsidRPr="00464B80">
        <w:rPr>
          <w:rFonts w:ascii="Times New Roman" w:hAnsi="Times New Roman"/>
          <w:b w:val="0"/>
          <w:sz w:val="24"/>
        </w:rPr>
        <w:t xml:space="preserve">Finanční deriváty, </w:t>
      </w:r>
      <w:r>
        <w:rPr>
          <w:rFonts w:ascii="Times New Roman" w:hAnsi="Times New Roman"/>
          <w:b w:val="0"/>
          <w:sz w:val="24"/>
        </w:rPr>
        <w:t>forward, futures, swap, opce, měnové riziko, úrokové riziko</w:t>
      </w:r>
      <w:r w:rsidR="006B2139">
        <w:rPr>
          <w:rFonts w:ascii="Times New Roman" w:hAnsi="Times New Roman"/>
          <w:b w:val="0"/>
          <w:sz w:val="24"/>
        </w:rPr>
        <w:t>, zajištění</w:t>
      </w:r>
    </w:p>
    <w:p w:rsidR="001C147F" w:rsidRDefault="001C147F" w:rsidP="001C147F">
      <w:pPr>
        <w:pStyle w:val="Titulek1"/>
        <w:spacing w:after="240" w:line="276" w:lineRule="auto"/>
        <w:rPr>
          <w:rFonts w:ascii="Times New Roman" w:hAnsi="Times New Roman"/>
          <w:lang w:val="en-US"/>
        </w:rPr>
      </w:pPr>
      <w:r w:rsidRPr="00464B80">
        <w:rPr>
          <w:rFonts w:ascii="Times New Roman" w:hAnsi="Times New Roman"/>
          <w:lang w:val="en-US"/>
        </w:rPr>
        <w:t>Keywords</w:t>
      </w:r>
    </w:p>
    <w:p w:rsidR="00464B80" w:rsidRPr="00464B80" w:rsidRDefault="00464B80" w:rsidP="00464B80">
      <w:pPr>
        <w:rPr>
          <w:lang w:val="en-US"/>
        </w:rPr>
      </w:pPr>
      <w:r>
        <w:rPr>
          <w:lang w:val="en-US"/>
        </w:rPr>
        <w:t>Financial derivatives, forward, futures, swap, option, currency risk, interest rate risk</w:t>
      </w:r>
      <w:r w:rsidR="006B2139">
        <w:rPr>
          <w:lang w:val="en-US"/>
        </w:rPr>
        <w:t>, hedge</w:t>
      </w:r>
    </w:p>
    <w:p w:rsidR="001C66A5" w:rsidRPr="001C66A5" w:rsidRDefault="001C66A5" w:rsidP="00BB3920">
      <w:pPr>
        <w:pStyle w:val="Titulek1"/>
        <w:pageBreakBefore/>
        <w:spacing w:before="10200" w:line="276" w:lineRule="auto"/>
        <w:rPr>
          <w:rFonts w:ascii="Times New Roman" w:hAnsi="Times New Roman"/>
        </w:rPr>
      </w:pPr>
      <w:r w:rsidRPr="001C66A5">
        <w:rPr>
          <w:rFonts w:ascii="Times New Roman" w:hAnsi="Times New Roman"/>
        </w:rPr>
        <w:lastRenderedPageBreak/>
        <w:t>Prohlášení</w:t>
      </w:r>
    </w:p>
    <w:p w:rsidR="001C66A5" w:rsidRDefault="001C66A5" w:rsidP="00BB3920">
      <w:pPr>
        <w:pStyle w:val="Diplomka-textodstavce"/>
        <w:spacing w:line="276" w:lineRule="auto"/>
      </w:pPr>
      <w:r>
        <w:t xml:space="preserve">Prohlašuji, že jsem diplomovou práci </w:t>
      </w:r>
      <w:r w:rsidR="00BB3920" w:rsidRPr="00BB3920">
        <w:rPr>
          <w:bCs/>
          <w:i/>
        </w:rPr>
        <w:t>Využití derivátů při řízení měnového a úrokového rizika</w:t>
      </w:r>
      <w:r w:rsidR="00BB3920">
        <w:rPr>
          <w:bCs/>
          <w:i/>
        </w:rPr>
        <w:t xml:space="preserve"> </w:t>
      </w:r>
      <w:r w:rsidR="00C00C85">
        <w:t>vypracovala</w:t>
      </w:r>
      <w:r>
        <w:t xml:space="preserve"> samostatně pod vedením </w:t>
      </w:r>
      <w:r>
        <w:rPr>
          <w:iCs/>
        </w:rPr>
        <w:t xml:space="preserve">Ing. </w:t>
      </w:r>
      <w:r w:rsidR="00BB3920">
        <w:rPr>
          <w:iCs/>
        </w:rPr>
        <w:t>Borise Šturce, CSc.</w:t>
      </w:r>
      <w:r>
        <w:t xml:space="preserve"> a uvedla v ní všechny použité literární a jiné odborné zdroje v souladu s právními předpisy, vnitřními předpisy Masarykovy univerzity a vnitřními akty řízení Masarykovy univerzity a Ekonomicko-správní fakulty MU.</w:t>
      </w:r>
    </w:p>
    <w:p w:rsidR="001C66A5" w:rsidRDefault="00C00C85" w:rsidP="00BB3920">
      <w:pPr>
        <w:pStyle w:val="Diplomka-textodstavce"/>
        <w:spacing w:before="403" w:after="0" w:line="276" w:lineRule="auto"/>
        <w:rPr>
          <w:bCs/>
          <w:color w:val="FF0000"/>
        </w:rPr>
      </w:pPr>
      <w:r>
        <w:t>V Brně dne 23</w:t>
      </w:r>
      <w:r w:rsidR="001C66A5">
        <w:t>. dubna 2</w:t>
      </w:r>
      <w:r w:rsidR="001C66A5" w:rsidRPr="001C66A5">
        <w:t>01</w:t>
      </w:r>
      <w:r w:rsidR="001C66A5" w:rsidRPr="001C66A5">
        <w:rPr>
          <w:bCs/>
        </w:rPr>
        <w:t>3</w:t>
      </w:r>
    </w:p>
    <w:p w:rsidR="001C66A5" w:rsidRDefault="001C66A5" w:rsidP="00BB3920">
      <w:pPr>
        <w:pStyle w:val="Diplomka-textodstavce"/>
        <w:spacing w:after="0" w:line="276" w:lineRule="auto"/>
      </w:pPr>
    </w:p>
    <w:p w:rsidR="001C66A5" w:rsidRDefault="00FA567C" w:rsidP="00BB3920">
      <w:pPr>
        <w:pStyle w:val="Diplomka-textodstavce"/>
        <w:tabs>
          <w:tab w:val="left" w:pos="5387"/>
        </w:tabs>
        <w:spacing w:before="60" w:line="276" w:lineRule="auto"/>
        <w:rPr>
          <w:spacing w:val="24"/>
          <w:sz w:val="20"/>
        </w:rPr>
      </w:pPr>
      <w:r w:rsidRPr="00FA567C">
        <w:pict>
          <v:line id="_x0000_s1027" style="position:absolute;left:0;text-align:left;z-index:251662336" from="228.8pt,1pt" to="435.85pt,1pt" strokeweight=".26mm">
            <v:stroke joinstyle="miter"/>
          </v:line>
        </w:pict>
      </w:r>
      <w:r w:rsidR="001C66A5">
        <w:tab/>
      </w:r>
      <w:r w:rsidR="001C66A5">
        <w:rPr>
          <w:spacing w:val="24"/>
          <w:sz w:val="20"/>
        </w:rPr>
        <w:t>vlastnoruční podpis autora</w:t>
      </w:r>
    </w:p>
    <w:p w:rsidR="001C66A5" w:rsidRDefault="001C66A5">
      <w:pPr>
        <w:suppressAutoHyphens w:val="0"/>
        <w:spacing w:after="200" w:line="276" w:lineRule="auto"/>
      </w:pPr>
    </w:p>
    <w:p w:rsidR="00BB3920" w:rsidRPr="00BB3920" w:rsidRDefault="00BB3920" w:rsidP="00BB3920">
      <w:pPr>
        <w:pStyle w:val="Titulek1"/>
        <w:pageBreakBefore/>
        <w:spacing w:before="10200"/>
        <w:rPr>
          <w:rFonts w:ascii="Times New Roman" w:hAnsi="Times New Roman"/>
          <w:color w:val="FF0000"/>
        </w:rPr>
      </w:pPr>
      <w:bookmarkStart w:id="0" w:name="_Toc350414912"/>
      <w:r w:rsidRPr="00BB3920">
        <w:rPr>
          <w:rFonts w:ascii="Times New Roman" w:hAnsi="Times New Roman"/>
        </w:rPr>
        <w:lastRenderedPageBreak/>
        <w:t>Poděkování</w:t>
      </w:r>
    </w:p>
    <w:p w:rsidR="00BB3920" w:rsidRDefault="00BB3920" w:rsidP="001667AF">
      <w:pPr>
        <w:pStyle w:val="Zkladntext"/>
        <w:rPr>
          <w:b/>
          <w:sz w:val="40"/>
          <w:szCs w:val="40"/>
        </w:rPr>
      </w:pPr>
      <w:r w:rsidRPr="00BB3920">
        <w:rPr>
          <w:iCs/>
        </w:rPr>
        <w:t xml:space="preserve">Na tomto místě bych ráda poděkovala Ing. </w:t>
      </w:r>
      <w:r>
        <w:rPr>
          <w:iCs/>
        </w:rPr>
        <w:t>Borisi Šturcovi, CSc.</w:t>
      </w:r>
      <w:r w:rsidRPr="00BB3920">
        <w:rPr>
          <w:iCs/>
        </w:rPr>
        <w:t xml:space="preserve"> za cenné připomínky a</w:t>
      </w:r>
      <w:r>
        <w:rPr>
          <w:iCs/>
        </w:rPr>
        <w:t> </w:t>
      </w:r>
      <w:r w:rsidRPr="00BB3920">
        <w:rPr>
          <w:iCs/>
        </w:rPr>
        <w:t>odborné rady, kterými přispěl k vypracování této diplomové práce.</w:t>
      </w:r>
    </w:p>
    <w:p w:rsidR="001667AF" w:rsidRDefault="001667AF" w:rsidP="001667AF">
      <w:pPr>
        <w:pStyle w:val="Zkladntext"/>
        <w:rPr>
          <w:b/>
          <w:sz w:val="40"/>
          <w:szCs w:val="40"/>
        </w:rPr>
      </w:pPr>
    </w:p>
    <w:p w:rsidR="001667AF" w:rsidRDefault="001667AF" w:rsidP="001667AF">
      <w:pPr>
        <w:pStyle w:val="Zkladntext"/>
        <w:rPr>
          <w:b/>
          <w:sz w:val="40"/>
          <w:szCs w:val="40"/>
        </w:rPr>
      </w:pPr>
    </w:p>
    <w:p w:rsidR="001667AF" w:rsidRDefault="001667AF" w:rsidP="001667AF">
      <w:pPr>
        <w:pStyle w:val="Zkladntext"/>
        <w:rPr>
          <w:b/>
          <w:sz w:val="40"/>
          <w:szCs w:val="40"/>
        </w:rPr>
      </w:pPr>
    </w:p>
    <w:p w:rsidR="001667AF" w:rsidRDefault="001667AF" w:rsidP="001667AF">
      <w:pPr>
        <w:pStyle w:val="Zkladntext"/>
        <w:rPr>
          <w:b/>
          <w:sz w:val="40"/>
          <w:szCs w:val="40"/>
        </w:rPr>
      </w:pPr>
    </w:p>
    <w:p w:rsidR="001667AF" w:rsidRDefault="001667AF" w:rsidP="001667AF">
      <w:pPr>
        <w:pStyle w:val="Zkladntext"/>
        <w:rPr>
          <w:b/>
          <w:sz w:val="40"/>
          <w:szCs w:val="40"/>
        </w:rPr>
      </w:pPr>
    </w:p>
    <w:p w:rsidR="001667AF" w:rsidRDefault="001667AF" w:rsidP="001667AF">
      <w:pPr>
        <w:pStyle w:val="Zkladntext"/>
        <w:rPr>
          <w:b/>
          <w:sz w:val="40"/>
          <w:szCs w:val="40"/>
        </w:rPr>
      </w:pPr>
    </w:p>
    <w:p w:rsidR="001667AF" w:rsidRPr="001667AF" w:rsidRDefault="001667AF" w:rsidP="001667AF">
      <w:pPr>
        <w:pStyle w:val="Zkladntext"/>
        <w:rPr>
          <w:iCs/>
        </w:rPr>
      </w:pPr>
    </w:p>
    <w:p w:rsidR="008122F3" w:rsidRPr="00C00C85" w:rsidRDefault="002126DD" w:rsidP="00145849">
      <w:pPr>
        <w:spacing w:after="240" w:line="276" w:lineRule="auto"/>
        <w:rPr>
          <w:b/>
          <w:sz w:val="32"/>
          <w:szCs w:val="32"/>
        </w:rPr>
      </w:pPr>
      <w:r w:rsidRPr="00C00C85">
        <w:rPr>
          <w:b/>
          <w:sz w:val="32"/>
          <w:szCs w:val="32"/>
        </w:rPr>
        <w:lastRenderedPageBreak/>
        <w:t>OBSAH</w:t>
      </w:r>
    </w:p>
    <w:p w:rsidR="00145849" w:rsidRPr="00145849" w:rsidRDefault="00145849" w:rsidP="00145849">
      <w:pPr>
        <w:spacing w:after="240" w:line="276" w:lineRule="auto"/>
        <w:rPr>
          <w:lang w:eastAsia="cs-CZ"/>
        </w:rPr>
      </w:pPr>
    </w:p>
    <w:p w:rsidR="001F3E1C" w:rsidRPr="001F3E1C" w:rsidRDefault="00FA567C" w:rsidP="001F3E1C">
      <w:pPr>
        <w:pStyle w:val="Obsah1"/>
        <w:rPr>
          <w:rFonts w:ascii="Times New Roman" w:eastAsiaTheme="minorEastAsia" w:hAnsi="Times New Roman"/>
          <w:b w:val="0"/>
          <w:bCs w:val="0"/>
          <w:caps w:val="0"/>
          <w:noProof/>
          <w:sz w:val="24"/>
          <w:szCs w:val="24"/>
          <w:lang w:eastAsia="cs-CZ"/>
        </w:rPr>
      </w:pPr>
      <w:r w:rsidRPr="001F3E1C">
        <w:rPr>
          <w:rFonts w:ascii="Times New Roman" w:hAnsi="Times New Roman"/>
          <w:kern w:val="28"/>
          <w:sz w:val="24"/>
          <w:szCs w:val="24"/>
          <w:lang w:eastAsia="cs-CZ"/>
        </w:rPr>
        <w:fldChar w:fldCharType="begin"/>
      </w:r>
      <w:r w:rsidR="008122F3" w:rsidRPr="001F3E1C">
        <w:rPr>
          <w:rFonts w:ascii="Times New Roman" w:hAnsi="Times New Roman"/>
          <w:kern w:val="28"/>
          <w:sz w:val="24"/>
          <w:szCs w:val="24"/>
          <w:lang w:eastAsia="cs-CZ"/>
        </w:rPr>
        <w:instrText xml:space="preserve"> TOC \o "1-3" \h \z \u </w:instrText>
      </w:r>
      <w:r w:rsidRPr="001F3E1C">
        <w:rPr>
          <w:rFonts w:ascii="Times New Roman" w:hAnsi="Times New Roman"/>
          <w:kern w:val="28"/>
          <w:sz w:val="24"/>
          <w:szCs w:val="24"/>
          <w:lang w:eastAsia="cs-CZ"/>
        </w:rPr>
        <w:fldChar w:fldCharType="separate"/>
      </w:r>
      <w:hyperlink w:anchor="_Toc354393041" w:history="1">
        <w:r w:rsidR="001F3E1C" w:rsidRPr="001F3E1C">
          <w:rPr>
            <w:rStyle w:val="Hypertextovodkaz"/>
            <w:rFonts w:ascii="Times New Roman" w:eastAsiaTheme="majorEastAsia" w:hAnsi="Times New Roman"/>
            <w:noProof/>
            <w:sz w:val="24"/>
            <w:szCs w:val="24"/>
          </w:rPr>
          <w:t>ÚVOD</w:t>
        </w:r>
        <w:r w:rsidR="001F3E1C" w:rsidRPr="001F3E1C">
          <w:rPr>
            <w:rFonts w:ascii="Times New Roman" w:hAnsi="Times New Roman"/>
            <w:noProof/>
            <w:webHidden/>
            <w:sz w:val="24"/>
            <w:szCs w:val="24"/>
          </w:rPr>
          <w:tab/>
        </w:r>
        <w:r w:rsidR="001F3E1C" w:rsidRPr="001F3E1C">
          <w:rPr>
            <w:rFonts w:ascii="Times New Roman" w:hAnsi="Times New Roman"/>
            <w:noProof/>
            <w:webHidden/>
            <w:sz w:val="24"/>
            <w:szCs w:val="24"/>
          </w:rPr>
          <w:fldChar w:fldCharType="begin"/>
        </w:r>
        <w:r w:rsidR="001F3E1C" w:rsidRPr="001F3E1C">
          <w:rPr>
            <w:rFonts w:ascii="Times New Roman" w:hAnsi="Times New Roman"/>
            <w:noProof/>
            <w:webHidden/>
            <w:sz w:val="24"/>
            <w:szCs w:val="24"/>
          </w:rPr>
          <w:instrText xml:space="preserve"> PAGEREF _Toc354393041 \h </w:instrText>
        </w:r>
        <w:r w:rsidR="001F3E1C" w:rsidRPr="001F3E1C">
          <w:rPr>
            <w:rFonts w:ascii="Times New Roman" w:hAnsi="Times New Roman"/>
            <w:noProof/>
            <w:webHidden/>
            <w:sz w:val="24"/>
            <w:szCs w:val="24"/>
          </w:rPr>
        </w:r>
        <w:r w:rsidR="001F3E1C"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10</w:t>
        </w:r>
        <w:r w:rsidR="001F3E1C"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42" w:history="1">
        <w:r w:rsidRPr="001F3E1C">
          <w:rPr>
            <w:rStyle w:val="Hypertextovodkaz"/>
            <w:rFonts w:ascii="Times New Roman" w:eastAsiaTheme="majorEastAsia" w:hAnsi="Times New Roman"/>
            <w:noProof/>
            <w:sz w:val="24"/>
            <w:szCs w:val="24"/>
          </w:rPr>
          <w:t>1</w:t>
        </w:r>
        <w:r w:rsidRPr="001F3E1C">
          <w:rPr>
            <w:rFonts w:ascii="Times New Roman" w:eastAsiaTheme="minorEastAsia" w:hAnsi="Times New Roman"/>
            <w:b w:val="0"/>
            <w:bCs w:val="0"/>
            <w:caps w:val="0"/>
            <w:noProof/>
            <w:sz w:val="24"/>
            <w:szCs w:val="24"/>
            <w:lang w:eastAsia="cs-CZ"/>
          </w:rPr>
          <w:tab/>
        </w:r>
        <w:r w:rsidRPr="001F3E1C">
          <w:rPr>
            <w:rStyle w:val="Hypertextovodkaz"/>
            <w:rFonts w:ascii="Times New Roman" w:eastAsiaTheme="majorEastAsia" w:hAnsi="Times New Roman"/>
            <w:noProof/>
            <w:sz w:val="24"/>
            <w:szCs w:val="24"/>
          </w:rPr>
          <w:t>DERIVÁTY</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_Toc354393042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12</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43" w:history="1">
        <w:r w:rsidRPr="001F3E1C">
          <w:rPr>
            <w:rStyle w:val="Hypertextovodkaz"/>
            <w:rFonts w:ascii="Times New Roman" w:eastAsiaTheme="majorEastAsia" w:hAnsi="Times New Roman"/>
            <w:noProof/>
            <w:sz w:val="24"/>
            <w:szCs w:val="24"/>
          </w:rPr>
          <w:t>1.1</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Historie derivátů</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_Toc354393043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12</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44" w:history="1">
        <w:r w:rsidRPr="001F3E1C">
          <w:rPr>
            <w:rStyle w:val="Hypertextovodkaz"/>
            <w:rFonts w:ascii="Times New Roman" w:eastAsiaTheme="majorEastAsia" w:hAnsi="Times New Roman"/>
            <w:noProof/>
            <w:sz w:val="24"/>
            <w:szCs w:val="24"/>
          </w:rPr>
          <w:t>1.2</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Členění termínových kontraktů</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_Toc354393044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14</w:t>
        </w:r>
        <w:r w:rsidRPr="001F3E1C">
          <w:rPr>
            <w:rFonts w:ascii="Times New Roman" w:hAnsi="Times New Roman"/>
            <w:noProof/>
            <w:webHidden/>
            <w:sz w:val="24"/>
            <w:szCs w:val="24"/>
          </w:rPr>
          <w:fldChar w:fldCharType="end"/>
        </w:r>
      </w:hyperlink>
    </w:p>
    <w:p w:rsidR="001F3E1C" w:rsidRPr="001F3E1C" w:rsidRDefault="001F3E1C" w:rsidP="001F3E1C">
      <w:pPr>
        <w:pStyle w:val="Obsah3"/>
        <w:rPr>
          <w:rFonts w:eastAsiaTheme="minorEastAsia"/>
          <w:iCs w:val="0"/>
          <w:lang w:eastAsia="cs-CZ"/>
        </w:rPr>
      </w:pPr>
      <w:hyperlink w:anchor="_Toc354393045" w:history="1">
        <w:r w:rsidRPr="001F3E1C">
          <w:rPr>
            <w:rStyle w:val="Hypertextovodkaz"/>
          </w:rPr>
          <w:t>1.2.1</w:t>
        </w:r>
        <w:r w:rsidRPr="001F3E1C">
          <w:rPr>
            <w:rFonts w:eastAsiaTheme="minorEastAsia"/>
            <w:iCs w:val="0"/>
            <w:lang w:eastAsia="cs-CZ"/>
          </w:rPr>
          <w:tab/>
        </w:r>
        <w:r w:rsidRPr="001F3E1C">
          <w:rPr>
            <w:rStyle w:val="Hypertextovodkaz"/>
          </w:rPr>
          <w:t>Deriváty podle vzniklých práv a povinností</w:t>
        </w:r>
        <w:r w:rsidRPr="001F3E1C">
          <w:rPr>
            <w:webHidden/>
          </w:rPr>
          <w:tab/>
        </w:r>
        <w:r w:rsidRPr="001F3E1C">
          <w:rPr>
            <w:webHidden/>
          </w:rPr>
          <w:fldChar w:fldCharType="begin"/>
        </w:r>
        <w:r w:rsidRPr="001F3E1C">
          <w:rPr>
            <w:webHidden/>
          </w:rPr>
          <w:instrText xml:space="preserve"> PAGEREF _Toc354393045 \h </w:instrText>
        </w:r>
        <w:r w:rsidRPr="001F3E1C">
          <w:rPr>
            <w:webHidden/>
          </w:rPr>
        </w:r>
        <w:r w:rsidRPr="001F3E1C">
          <w:rPr>
            <w:webHidden/>
          </w:rPr>
          <w:fldChar w:fldCharType="separate"/>
        </w:r>
        <w:r w:rsidR="00E477F4">
          <w:rPr>
            <w:webHidden/>
          </w:rPr>
          <w:t>14</w:t>
        </w:r>
        <w:r w:rsidRPr="001F3E1C">
          <w:rPr>
            <w:webHidden/>
          </w:rPr>
          <w:fldChar w:fldCharType="end"/>
        </w:r>
      </w:hyperlink>
    </w:p>
    <w:p w:rsidR="001F3E1C" w:rsidRPr="001F3E1C" w:rsidRDefault="001F3E1C" w:rsidP="001F3E1C">
      <w:pPr>
        <w:pStyle w:val="Obsah3"/>
        <w:rPr>
          <w:rFonts w:eastAsiaTheme="minorEastAsia"/>
          <w:iCs w:val="0"/>
          <w:lang w:eastAsia="cs-CZ"/>
        </w:rPr>
      </w:pPr>
      <w:hyperlink w:anchor="_Toc354393046" w:history="1">
        <w:r w:rsidRPr="001F3E1C">
          <w:rPr>
            <w:rStyle w:val="Hypertextovodkaz"/>
          </w:rPr>
          <w:t>1.2.2</w:t>
        </w:r>
        <w:r w:rsidRPr="001F3E1C">
          <w:rPr>
            <w:rFonts w:eastAsiaTheme="minorEastAsia"/>
            <w:iCs w:val="0"/>
            <w:lang w:eastAsia="cs-CZ"/>
          </w:rPr>
          <w:tab/>
        </w:r>
        <w:r w:rsidRPr="001F3E1C">
          <w:rPr>
            <w:rStyle w:val="Hypertextovodkaz"/>
          </w:rPr>
          <w:t>Deriváty podle formy obchodování</w:t>
        </w:r>
        <w:r w:rsidRPr="001F3E1C">
          <w:rPr>
            <w:webHidden/>
          </w:rPr>
          <w:tab/>
        </w:r>
        <w:r w:rsidRPr="001F3E1C">
          <w:rPr>
            <w:webHidden/>
          </w:rPr>
          <w:fldChar w:fldCharType="begin"/>
        </w:r>
        <w:r w:rsidRPr="001F3E1C">
          <w:rPr>
            <w:webHidden/>
          </w:rPr>
          <w:instrText xml:space="preserve"> PAGEREF _Toc354393046 \h </w:instrText>
        </w:r>
        <w:r w:rsidRPr="001F3E1C">
          <w:rPr>
            <w:webHidden/>
          </w:rPr>
        </w:r>
        <w:r w:rsidRPr="001F3E1C">
          <w:rPr>
            <w:webHidden/>
          </w:rPr>
          <w:fldChar w:fldCharType="separate"/>
        </w:r>
        <w:r w:rsidR="00E477F4">
          <w:rPr>
            <w:webHidden/>
          </w:rPr>
          <w:t>14</w:t>
        </w:r>
        <w:r w:rsidRPr="001F3E1C">
          <w:rPr>
            <w:webHidden/>
          </w:rPr>
          <w:fldChar w:fldCharType="end"/>
        </w:r>
      </w:hyperlink>
    </w:p>
    <w:p w:rsidR="001F3E1C" w:rsidRPr="001F3E1C" w:rsidRDefault="001F3E1C" w:rsidP="001F3E1C">
      <w:pPr>
        <w:pStyle w:val="Obsah3"/>
        <w:rPr>
          <w:rFonts w:eastAsiaTheme="minorEastAsia"/>
          <w:iCs w:val="0"/>
          <w:lang w:eastAsia="cs-CZ"/>
        </w:rPr>
      </w:pPr>
      <w:hyperlink w:anchor="_Toc354393047" w:history="1">
        <w:r w:rsidRPr="001F3E1C">
          <w:rPr>
            <w:rStyle w:val="Hypertextovodkaz"/>
          </w:rPr>
          <w:t>1.2.3</w:t>
        </w:r>
        <w:r w:rsidRPr="001F3E1C">
          <w:rPr>
            <w:rFonts w:eastAsiaTheme="minorEastAsia"/>
            <w:iCs w:val="0"/>
            <w:lang w:eastAsia="cs-CZ"/>
          </w:rPr>
          <w:tab/>
        </w:r>
        <w:r w:rsidRPr="001F3E1C">
          <w:rPr>
            <w:rStyle w:val="Hypertextovodkaz"/>
          </w:rPr>
          <w:t>Deriváty podle druhu rizika</w:t>
        </w:r>
        <w:r w:rsidRPr="001F3E1C">
          <w:rPr>
            <w:webHidden/>
          </w:rPr>
          <w:tab/>
        </w:r>
        <w:r w:rsidRPr="001F3E1C">
          <w:rPr>
            <w:webHidden/>
          </w:rPr>
          <w:fldChar w:fldCharType="begin"/>
        </w:r>
        <w:r w:rsidRPr="001F3E1C">
          <w:rPr>
            <w:webHidden/>
          </w:rPr>
          <w:instrText xml:space="preserve"> PAGEREF _Toc354393047 \h </w:instrText>
        </w:r>
        <w:r w:rsidRPr="001F3E1C">
          <w:rPr>
            <w:webHidden/>
          </w:rPr>
        </w:r>
        <w:r w:rsidRPr="001F3E1C">
          <w:rPr>
            <w:webHidden/>
          </w:rPr>
          <w:fldChar w:fldCharType="separate"/>
        </w:r>
        <w:r w:rsidR="00E477F4">
          <w:rPr>
            <w:webHidden/>
          </w:rPr>
          <w:t>16</w:t>
        </w:r>
        <w:r w:rsidRPr="001F3E1C">
          <w:rPr>
            <w:webHidden/>
          </w:rPr>
          <w:fldChar w:fldCharType="end"/>
        </w:r>
      </w:hyperlink>
    </w:p>
    <w:p w:rsidR="001F3E1C" w:rsidRPr="001F3E1C" w:rsidRDefault="001F3E1C" w:rsidP="001F3E1C">
      <w:pPr>
        <w:pStyle w:val="Obsah3"/>
        <w:rPr>
          <w:rFonts w:eastAsiaTheme="minorEastAsia"/>
          <w:iCs w:val="0"/>
          <w:lang w:eastAsia="cs-CZ"/>
        </w:rPr>
      </w:pPr>
      <w:hyperlink w:anchor="_Toc354393048" w:history="1">
        <w:r w:rsidRPr="001F3E1C">
          <w:rPr>
            <w:rStyle w:val="Hypertextovodkaz"/>
          </w:rPr>
          <w:t>1.2.4</w:t>
        </w:r>
        <w:r w:rsidRPr="001F3E1C">
          <w:rPr>
            <w:rFonts w:eastAsiaTheme="minorEastAsia"/>
            <w:iCs w:val="0"/>
            <w:lang w:eastAsia="cs-CZ"/>
          </w:rPr>
          <w:tab/>
        </w:r>
        <w:r w:rsidRPr="001F3E1C">
          <w:rPr>
            <w:rStyle w:val="Hypertextovodkaz"/>
          </w:rPr>
          <w:t>Deriváty podle druhu podkladového aktiva</w:t>
        </w:r>
        <w:r w:rsidRPr="001F3E1C">
          <w:rPr>
            <w:webHidden/>
          </w:rPr>
          <w:tab/>
        </w:r>
        <w:r w:rsidRPr="001F3E1C">
          <w:rPr>
            <w:webHidden/>
          </w:rPr>
          <w:fldChar w:fldCharType="begin"/>
        </w:r>
        <w:r w:rsidRPr="001F3E1C">
          <w:rPr>
            <w:webHidden/>
          </w:rPr>
          <w:instrText xml:space="preserve"> PAGEREF _Toc354393048 \h </w:instrText>
        </w:r>
        <w:r w:rsidRPr="001F3E1C">
          <w:rPr>
            <w:webHidden/>
          </w:rPr>
        </w:r>
        <w:r w:rsidRPr="001F3E1C">
          <w:rPr>
            <w:webHidden/>
          </w:rPr>
          <w:fldChar w:fldCharType="separate"/>
        </w:r>
        <w:r w:rsidR="00E477F4">
          <w:rPr>
            <w:webHidden/>
          </w:rPr>
          <w:t>17</w:t>
        </w:r>
        <w:r w:rsidRPr="001F3E1C">
          <w:rPr>
            <w:webHidden/>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49" w:history="1">
        <w:r w:rsidRPr="001F3E1C">
          <w:rPr>
            <w:rStyle w:val="Hypertextovodkaz"/>
            <w:rFonts w:ascii="Times New Roman" w:eastAsiaTheme="majorEastAsia" w:hAnsi="Times New Roman"/>
            <w:noProof/>
            <w:sz w:val="24"/>
            <w:szCs w:val="24"/>
          </w:rPr>
          <w:t>1.3</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Zajištění prostřednictvím derivátů</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_Toc354393049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18</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50" w:history="1">
        <w:r w:rsidRPr="001F3E1C">
          <w:rPr>
            <w:rStyle w:val="Hypertextovodkaz"/>
            <w:rFonts w:ascii="Times New Roman" w:eastAsiaTheme="majorEastAsia" w:hAnsi="Times New Roman"/>
            <w:noProof/>
            <w:sz w:val="24"/>
            <w:szCs w:val="24"/>
          </w:rPr>
          <w:t>2</w:t>
        </w:r>
        <w:r w:rsidRPr="001F3E1C">
          <w:rPr>
            <w:rFonts w:ascii="Times New Roman" w:eastAsiaTheme="minorEastAsia" w:hAnsi="Times New Roman"/>
            <w:b w:val="0"/>
            <w:bCs w:val="0"/>
            <w:caps w:val="0"/>
            <w:noProof/>
            <w:sz w:val="24"/>
            <w:szCs w:val="24"/>
            <w:lang w:eastAsia="cs-CZ"/>
          </w:rPr>
          <w:tab/>
        </w:r>
        <w:r w:rsidRPr="001F3E1C">
          <w:rPr>
            <w:rStyle w:val="Hypertextovodkaz"/>
            <w:rFonts w:ascii="Times New Roman" w:eastAsiaTheme="majorEastAsia" w:hAnsi="Times New Roman"/>
            <w:noProof/>
            <w:sz w:val="24"/>
            <w:szCs w:val="24"/>
          </w:rPr>
          <w:t>FORWARDY</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_Toc354393050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20</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51" w:history="1">
        <w:r w:rsidRPr="001F3E1C">
          <w:rPr>
            <w:rStyle w:val="Hypertextovodkaz"/>
            <w:rFonts w:ascii="Times New Roman" w:eastAsiaTheme="majorEastAsia" w:hAnsi="Times New Roman"/>
            <w:noProof/>
            <w:sz w:val="24"/>
            <w:szCs w:val="24"/>
          </w:rPr>
          <w:t>2.1</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Úrokový forward</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_Toc354393051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21</w:t>
        </w:r>
        <w:r w:rsidRPr="001F3E1C">
          <w:rPr>
            <w:rFonts w:ascii="Times New Roman" w:hAnsi="Times New Roman"/>
            <w:noProof/>
            <w:webHidden/>
            <w:sz w:val="24"/>
            <w:szCs w:val="24"/>
          </w:rPr>
          <w:fldChar w:fldCharType="end"/>
        </w:r>
      </w:hyperlink>
    </w:p>
    <w:p w:rsidR="001F3E1C" w:rsidRPr="001F3E1C" w:rsidRDefault="001F3E1C" w:rsidP="001F3E1C">
      <w:pPr>
        <w:pStyle w:val="Obsah3"/>
        <w:rPr>
          <w:rFonts w:eastAsiaTheme="minorEastAsia"/>
          <w:iCs w:val="0"/>
          <w:lang w:eastAsia="cs-CZ"/>
        </w:rPr>
      </w:pPr>
      <w:hyperlink w:anchor="_Toc354393052" w:history="1">
        <w:r w:rsidRPr="001F3E1C">
          <w:rPr>
            <w:rStyle w:val="Hypertextovodkaz"/>
          </w:rPr>
          <w:t>2.1.1</w:t>
        </w:r>
        <w:r w:rsidRPr="001F3E1C">
          <w:rPr>
            <w:rFonts w:eastAsiaTheme="minorEastAsia"/>
            <w:iCs w:val="0"/>
            <w:lang w:eastAsia="cs-CZ"/>
          </w:rPr>
          <w:tab/>
        </w:r>
        <w:r w:rsidRPr="001F3E1C">
          <w:rPr>
            <w:rStyle w:val="Hypertextovodkaz"/>
          </w:rPr>
          <w:t>Dohoda o forwardové úrokové míře</w:t>
        </w:r>
        <w:r w:rsidRPr="001F3E1C">
          <w:rPr>
            <w:webHidden/>
          </w:rPr>
          <w:tab/>
        </w:r>
        <w:r w:rsidRPr="001F3E1C">
          <w:rPr>
            <w:webHidden/>
          </w:rPr>
          <w:fldChar w:fldCharType="begin"/>
        </w:r>
        <w:r w:rsidRPr="001F3E1C">
          <w:rPr>
            <w:webHidden/>
          </w:rPr>
          <w:instrText xml:space="preserve"> PAGEREF _Toc354393052 \h </w:instrText>
        </w:r>
        <w:r w:rsidRPr="001F3E1C">
          <w:rPr>
            <w:webHidden/>
          </w:rPr>
        </w:r>
        <w:r w:rsidRPr="001F3E1C">
          <w:rPr>
            <w:webHidden/>
          </w:rPr>
          <w:fldChar w:fldCharType="separate"/>
        </w:r>
        <w:r w:rsidR="00E477F4">
          <w:rPr>
            <w:webHidden/>
          </w:rPr>
          <w:t>21</w:t>
        </w:r>
        <w:r w:rsidRPr="001F3E1C">
          <w:rPr>
            <w:webHidden/>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53" w:history="1">
        <w:r w:rsidRPr="001F3E1C">
          <w:rPr>
            <w:rStyle w:val="Hypertextovodkaz"/>
            <w:rFonts w:ascii="Times New Roman" w:eastAsiaTheme="majorEastAsia" w:hAnsi="Times New Roman"/>
            <w:noProof/>
            <w:sz w:val="24"/>
            <w:szCs w:val="24"/>
          </w:rPr>
          <w:t>2.2</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Měnový forward</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_Toc354393053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24</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54" w:history="1">
        <w:r w:rsidRPr="001F3E1C">
          <w:rPr>
            <w:rStyle w:val="Hypertextovodkaz"/>
            <w:rFonts w:ascii="Times New Roman" w:eastAsiaTheme="majorEastAsia" w:hAnsi="Times New Roman"/>
            <w:noProof/>
            <w:sz w:val="24"/>
            <w:szCs w:val="24"/>
          </w:rPr>
          <w:t>3</w:t>
        </w:r>
        <w:r w:rsidRPr="001F3E1C">
          <w:rPr>
            <w:rFonts w:ascii="Times New Roman" w:eastAsiaTheme="minorEastAsia" w:hAnsi="Times New Roman"/>
            <w:b w:val="0"/>
            <w:bCs w:val="0"/>
            <w:caps w:val="0"/>
            <w:noProof/>
            <w:sz w:val="24"/>
            <w:szCs w:val="24"/>
            <w:lang w:eastAsia="cs-CZ"/>
          </w:rPr>
          <w:tab/>
        </w:r>
        <w:r w:rsidRPr="001F3E1C">
          <w:rPr>
            <w:rStyle w:val="Hypertextovodkaz"/>
            <w:rFonts w:ascii="Times New Roman" w:eastAsiaTheme="majorEastAsia" w:hAnsi="Times New Roman"/>
            <w:noProof/>
            <w:sz w:val="24"/>
            <w:szCs w:val="24"/>
          </w:rPr>
          <w:t>FUTURES</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_Toc354393054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28</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55" w:history="1">
        <w:r w:rsidRPr="001F3E1C">
          <w:rPr>
            <w:rStyle w:val="Hypertextovodkaz"/>
            <w:rFonts w:ascii="Times New Roman" w:eastAsiaTheme="majorEastAsia" w:hAnsi="Times New Roman"/>
            <w:noProof/>
            <w:sz w:val="24"/>
            <w:szCs w:val="24"/>
          </w:rPr>
          <w:t>3.1</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Obchodování na derivátových burzách</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_Toc354393055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29</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56" w:history="1">
        <w:r w:rsidRPr="001F3E1C">
          <w:rPr>
            <w:rStyle w:val="Hypertextovodkaz"/>
            <w:rFonts w:ascii="Times New Roman" w:eastAsiaTheme="majorEastAsia" w:hAnsi="Times New Roman"/>
            <w:noProof/>
            <w:sz w:val="24"/>
            <w:szCs w:val="24"/>
          </w:rPr>
          <w:t>3.2</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Zajištění prostřednictvím futures</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_Toc354393056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31</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57" w:history="1">
        <w:r w:rsidRPr="001F3E1C">
          <w:rPr>
            <w:rStyle w:val="Hypertextovodkaz"/>
            <w:rFonts w:ascii="Times New Roman" w:eastAsiaTheme="majorEastAsia" w:hAnsi="Times New Roman"/>
            <w:noProof/>
            <w:sz w:val="24"/>
            <w:szCs w:val="24"/>
          </w:rPr>
          <w:t>3.3</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Úrokové futures</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_Toc354393057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32</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58" w:history="1">
        <w:r w:rsidRPr="001F3E1C">
          <w:rPr>
            <w:rStyle w:val="Hypertextovodkaz"/>
            <w:rFonts w:ascii="Times New Roman" w:eastAsiaTheme="majorEastAsia" w:hAnsi="Times New Roman"/>
            <w:noProof/>
            <w:sz w:val="24"/>
            <w:szCs w:val="24"/>
          </w:rPr>
          <w:t>3.4</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Měnové futures</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_Toc354393058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34</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59" w:history="1">
        <w:r w:rsidRPr="001F3E1C">
          <w:rPr>
            <w:rStyle w:val="Hypertextovodkaz"/>
            <w:rFonts w:ascii="Times New Roman" w:eastAsiaTheme="majorEastAsia" w:hAnsi="Times New Roman"/>
            <w:noProof/>
            <w:sz w:val="24"/>
            <w:szCs w:val="24"/>
          </w:rPr>
          <w:t>4</w:t>
        </w:r>
        <w:r w:rsidRPr="001F3E1C">
          <w:rPr>
            <w:rFonts w:ascii="Times New Roman" w:eastAsiaTheme="minorEastAsia" w:hAnsi="Times New Roman"/>
            <w:b w:val="0"/>
            <w:bCs w:val="0"/>
            <w:caps w:val="0"/>
            <w:noProof/>
            <w:sz w:val="24"/>
            <w:szCs w:val="24"/>
            <w:lang w:eastAsia="cs-CZ"/>
          </w:rPr>
          <w:tab/>
        </w:r>
        <w:r w:rsidRPr="001F3E1C">
          <w:rPr>
            <w:rStyle w:val="Hypertextovodkaz"/>
            <w:rFonts w:ascii="Times New Roman" w:eastAsiaTheme="majorEastAsia" w:hAnsi="Times New Roman"/>
            <w:noProof/>
            <w:sz w:val="24"/>
            <w:szCs w:val="24"/>
          </w:rPr>
          <w:t>SWAPY</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_Toc354393059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35</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60" w:history="1">
        <w:r w:rsidRPr="001F3E1C">
          <w:rPr>
            <w:rStyle w:val="Hypertextovodkaz"/>
            <w:rFonts w:ascii="Times New Roman" w:eastAsiaTheme="majorEastAsia" w:hAnsi="Times New Roman"/>
            <w:noProof/>
            <w:sz w:val="24"/>
            <w:szCs w:val="24"/>
          </w:rPr>
          <w:t>4.1</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Úrokové swapy</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_Toc354393060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35</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61" w:history="1">
        <w:r w:rsidRPr="001F3E1C">
          <w:rPr>
            <w:rStyle w:val="Hypertextovodkaz"/>
            <w:rFonts w:ascii="Times New Roman" w:eastAsiaTheme="majorEastAsia" w:hAnsi="Times New Roman"/>
            <w:noProof/>
            <w:sz w:val="24"/>
            <w:szCs w:val="24"/>
          </w:rPr>
          <w:t>4.2</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Měnové swapy</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_Toc354393061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37</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62" w:history="1">
        <w:r w:rsidRPr="001F3E1C">
          <w:rPr>
            <w:rStyle w:val="Hypertextovodkaz"/>
            <w:rFonts w:ascii="Times New Roman" w:eastAsiaTheme="majorEastAsia" w:hAnsi="Times New Roman"/>
            <w:noProof/>
            <w:sz w:val="24"/>
            <w:szCs w:val="24"/>
          </w:rPr>
          <w:t>4.3</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Měnovo-úrokové swapy</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_Toc354393062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37</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63" w:history="1">
        <w:r w:rsidRPr="001F3E1C">
          <w:rPr>
            <w:rStyle w:val="Hypertextovodkaz"/>
            <w:rFonts w:ascii="Times New Roman" w:eastAsiaTheme="majorEastAsia" w:hAnsi="Times New Roman"/>
            <w:noProof/>
            <w:sz w:val="24"/>
            <w:szCs w:val="24"/>
          </w:rPr>
          <w:t>5</w:t>
        </w:r>
        <w:r w:rsidRPr="001F3E1C">
          <w:rPr>
            <w:rFonts w:ascii="Times New Roman" w:eastAsiaTheme="minorEastAsia" w:hAnsi="Times New Roman"/>
            <w:b w:val="0"/>
            <w:bCs w:val="0"/>
            <w:caps w:val="0"/>
            <w:noProof/>
            <w:sz w:val="24"/>
            <w:szCs w:val="24"/>
            <w:lang w:eastAsia="cs-CZ"/>
          </w:rPr>
          <w:tab/>
        </w:r>
        <w:r w:rsidRPr="001F3E1C">
          <w:rPr>
            <w:rStyle w:val="Hypertextovodkaz"/>
            <w:rFonts w:ascii="Times New Roman" w:eastAsiaTheme="majorEastAsia" w:hAnsi="Times New Roman"/>
            <w:noProof/>
            <w:sz w:val="24"/>
            <w:szCs w:val="24"/>
          </w:rPr>
          <w:t>OPCE</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_Toc354393063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40</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64" w:history="1">
        <w:r w:rsidRPr="001F3E1C">
          <w:rPr>
            <w:rStyle w:val="Hypertextovodkaz"/>
            <w:rFonts w:ascii="Times New Roman" w:eastAsiaTheme="majorEastAsia" w:hAnsi="Times New Roman"/>
            <w:noProof/>
            <w:sz w:val="24"/>
            <w:szCs w:val="24"/>
          </w:rPr>
          <w:t>5.1</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Call opce</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_Toc354393064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42</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65" w:history="1">
        <w:r w:rsidRPr="001F3E1C">
          <w:rPr>
            <w:rStyle w:val="Hypertextovodkaz"/>
            <w:rFonts w:ascii="Times New Roman" w:eastAsiaTheme="majorEastAsia" w:hAnsi="Times New Roman"/>
            <w:noProof/>
            <w:sz w:val="24"/>
            <w:szCs w:val="24"/>
          </w:rPr>
          <w:t>5.2</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Put opce</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_Toc354393065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43</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66" w:history="1">
        <w:r w:rsidRPr="001F3E1C">
          <w:rPr>
            <w:rStyle w:val="Hypertextovodkaz"/>
            <w:rFonts w:ascii="Times New Roman" w:eastAsiaTheme="majorEastAsia" w:hAnsi="Times New Roman"/>
            <w:noProof/>
            <w:sz w:val="24"/>
            <w:szCs w:val="24"/>
          </w:rPr>
          <w:t>5.3</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Cena opce</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_Toc354393066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44</w:t>
        </w:r>
        <w:r w:rsidRPr="001F3E1C">
          <w:rPr>
            <w:rFonts w:ascii="Times New Roman" w:hAnsi="Times New Roman"/>
            <w:noProof/>
            <w:webHidden/>
            <w:sz w:val="24"/>
            <w:szCs w:val="24"/>
          </w:rPr>
          <w:fldChar w:fldCharType="end"/>
        </w:r>
      </w:hyperlink>
    </w:p>
    <w:p w:rsidR="001F3E1C" w:rsidRPr="001F3E1C" w:rsidRDefault="001F3E1C" w:rsidP="001F3E1C">
      <w:pPr>
        <w:pStyle w:val="Obsah3"/>
        <w:rPr>
          <w:rFonts w:eastAsiaTheme="minorEastAsia"/>
          <w:iCs w:val="0"/>
          <w:lang w:eastAsia="cs-CZ"/>
        </w:rPr>
      </w:pPr>
      <w:hyperlink w:anchor="_Toc354393067" w:history="1">
        <w:r w:rsidRPr="001F3E1C">
          <w:rPr>
            <w:rStyle w:val="Hypertextovodkaz"/>
          </w:rPr>
          <w:t>5.3.1</w:t>
        </w:r>
        <w:r w:rsidRPr="001F3E1C">
          <w:rPr>
            <w:rFonts w:eastAsiaTheme="minorEastAsia"/>
            <w:iCs w:val="0"/>
            <w:lang w:eastAsia="cs-CZ"/>
          </w:rPr>
          <w:tab/>
        </w:r>
        <w:r w:rsidRPr="001F3E1C">
          <w:rPr>
            <w:rStyle w:val="Hypertextovodkaz"/>
          </w:rPr>
          <w:t>Vnitřní hodnota opce</w:t>
        </w:r>
        <w:r w:rsidRPr="001F3E1C">
          <w:rPr>
            <w:webHidden/>
          </w:rPr>
          <w:tab/>
        </w:r>
        <w:r w:rsidRPr="001F3E1C">
          <w:rPr>
            <w:webHidden/>
          </w:rPr>
          <w:fldChar w:fldCharType="begin"/>
        </w:r>
        <w:r w:rsidRPr="001F3E1C">
          <w:rPr>
            <w:webHidden/>
          </w:rPr>
          <w:instrText xml:space="preserve"> PAGEREF _Toc354393067 \h </w:instrText>
        </w:r>
        <w:r w:rsidRPr="001F3E1C">
          <w:rPr>
            <w:webHidden/>
          </w:rPr>
        </w:r>
        <w:r w:rsidRPr="001F3E1C">
          <w:rPr>
            <w:webHidden/>
          </w:rPr>
          <w:fldChar w:fldCharType="separate"/>
        </w:r>
        <w:r w:rsidR="00E477F4">
          <w:rPr>
            <w:webHidden/>
          </w:rPr>
          <w:t>44</w:t>
        </w:r>
        <w:r w:rsidRPr="001F3E1C">
          <w:rPr>
            <w:webHidden/>
          </w:rPr>
          <w:fldChar w:fldCharType="end"/>
        </w:r>
      </w:hyperlink>
    </w:p>
    <w:p w:rsidR="001F3E1C" w:rsidRPr="001F3E1C" w:rsidRDefault="001F3E1C" w:rsidP="001F3E1C">
      <w:pPr>
        <w:pStyle w:val="Obsah3"/>
        <w:rPr>
          <w:rFonts w:eastAsiaTheme="minorEastAsia"/>
          <w:iCs w:val="0"/>
          <w:lang w:eastAsia="cs-CZ"/>
        </w:rPr>
      </w:pPr>
      <w:hyperlink w:anchor="_Toc354393068" w:history="1">
        <w:r w:rsidRPr="001F3E1C">
          <w:rPr>
            <w:rStyle w:val="Hypertextovodkaz"/>
          </w:rPr>
          <w:t>5.3.2</w:t>
        </w:r>
        <w:r w:rsidRPr="001F3E1C">
          <w:rPr>
            <w:rFonts w:eastAsiaTheme="minorEastAsia"/>
            <w:iCs w:val="0"/>
            <w:lang w:eastAsia="cs-CZ"/>
          </w:rPr>
          <w:tab/>
        </w:r>
        <w:r w:rsidRPr="001F3E1C">
          <w:rPr>
            <w:rStyle w:val="Hypertextovodkaz"/>
          </w:rPr>
          <w:t>Časová hodnota opce</w:t>
        </w:r>
        <w:r w:rsidRPr="001F3E1C">
          <w:rPr>
            <w:webHidden/>
          </w:rPr>
          <w:tab/>
        </w:r>
        <w:r w:rsidRPr="001F3E1C">
          <w:rPr>
            <w:webHidden/>
          </w:rPr>
          <w:fldChar w:fldCharType="begin"/>
        </w:r>
        <w:r w:rsidRPr="001F3E1C">
          <w:rPr>
            <w:webHidden/>
          </w:rPr>
          <w:instrText xml:space="preserve"> PAGEREF _Toc354393068 \h </w:instrText>
        </w:r>
        <w:r w:rsidRPr="001F3E1C">
          <w:rPr>
            <w:webHidden/>
          </w:rPr>
        </w:r>
        <w:r w:rsidRPr="001F3E1C">
          <w:rPr>
            <w:webHidden/>
          </w:rPr>
          <w:fldChar w:fldCharType="separate"/>
        </w:r>
        <w:r w:rsidR="00E477F4">
          <w:rPr>
            <w:webHidden/>
          </w:rPr>
          <w:t>45</w:t>
        </w:r>
        <w:r w:rsidRPr="001F3E1C">
          <w:rPr>
            <w:webHidden/>
          </w:rPr>
          <w:fldChar w:fldCharType="end"/>
        </w:r>
      </w:hyperlink>
    </w:p>
    <w:p w:rsidR="001F3E1C" w:rsidRPr="001F3E1C" w:rsidRDefault="001F3E1C" w:rsidP="001F3E1C">
      <w:pPr>
        <w:pStyle w:val="Obsah3"/>
        <w:rPr>
          <w:rFonts w:eastAsiaTheme="minorEastAsia"/>
          <w:iCs w:val="0"/>
          <w:lang w:eastAsia="cs-CZ"/>
        </w:rPr>
      </w:pPr>
      <w:hyperlink w:anchor="_Toc354393069" w:history="1">
        <w:r w:rsidRPr="001F3E1C">
          <w:rPr>
            <w:rStyle w:val="Hypertextovodkaz"/>
          </w:rPr>
          <w:t>5.3.3</w:t>
        </w:r>
        <w:r w:rsidRPr="001F3E1C">
          <w:rPr>
            <w:rFonts w:eastAsiaTheme="minorEastAsia"/>
            <w:iCs w:val="0"/>
            <w:lang w:eastAsia="cs-CZ"/>
          </w:rPr>
          <w:tab/>
        </w:r>
        <w:r w:rsidRPr="001F3E1C">
          <w:rPr>
            <w:rStyle w:val="Hypertextovodkaz"/>
          </w:rPr>
          <w:t>Oceňování opcí</w:t>
        </w:r>
        <w:r w:rsidRPr="001F3E1C">
          <w:rPr>
            <w:webHidden/>
          </w:rPr>
          <w:tab/>
        </w:r>
        <w:r w:rsidRPr="001F3E1C">
          <w:rPr>
            <w:webHidden/>
          </w:rPr>
          <w:fldChar w:fldCharType="begin"/>
        </w:r>
        <w:r w:rsidRPr="001F3E1C">
          <w:rPr>
            <w:webHidden/>
          </w:rPr>
          <w:instrText xml:space="preserve"> PAGEREF _Toc354393069 \h </w:instrText>
        </w:r>
        <w:r w:rsidRPr="001F3E1C">
          <w:rPr>
            <w:webHidden/>
          </w:rPr>
        </w:r>
        <w:r w:rsidRPr="001F3E1C">
          <w:rPr>
            <w:webHidden/>
          </w:rPr>
          <w:fldChar w:fldCharType="separate"/>
        </w:r>
        <w:r w:rsidR="00E477F4">
          <w:rPr>
            <w:webHidden/>
          </w:rPr>
          <w:t>48</w:t>
        </w:r>
        <w:r w:rsidRPr="001F3E1C">
          <w:rPr>
            <w:webHidden/>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70" w:history="1">
        <w:r w:rsidRPr="001F3E1C">
          <w:rPr>
            <w:rStyle w:val="Hypertextovodkaz"/>
            <w:rFonts w:ascii="Times New Roman" w:eastAsiaTheme="majorEastAsia" w:hAnsi="Times New Roman"/>
            <w:noProof/>
            <w:sz w:val="24"/>
            <w:szCs w:val="24"/>
          </w:rPr>
          <w:t>5.4</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Úrokové opce</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_Toc354393070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50</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71" w:history="1">
        <w:r w:rsidRPr="001F3E1C">
          <w:rPr>
            <w:rStyle w:val="Hypertextovodkaz"/>
            <w:rFonts w:ascii="Times New Roman" w:eastAsiaTheme="majorEastAsia" w:hAnsi="Times New Roman"/>
            <w:noProof/>
            <w:sz w:val="24"/>
            <w:szCs w:val="24"/>
          </w:rPr>
          <w:t>5.5</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Měnové opce</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_Toc354393071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52</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72" w:history="1">
        <w:r w:rsidRPr="001F3E1C">
          <w:rPr>
            <w:rStyle w:val="Hypertextovodkaz"/>
            <w:rFonts w:ascii="Times New Roman" w:eastAsiaTheme="majorEastAsia" w:hAnsi="Times New Roman"/>
            <w:noProof/>
            <w:sz w:val="24"/>
            <w:szCs w:val="24"/>
          </w:rPr>
          <w:t>6</w:t>
        </w:r>
        <w:r w:rsidRPr="001F3E1C">
          <w:rPr>
            <w:rFonts w:ascii="Times New Roman" w:eastAsiaTheme="minorEastAsia" w:hAnsi="Times New Roman"/>
            <w:b w:val="0"/>
            <w:bCs w:val="0"/>
            <w:caps w:val="0"/>
            <w:noProof/>
            <w:sz w:val="24"/>
            <w:szCs w:val="24"/>
            <w:lang w:eastAsia="cs-CZ"/>
          </w:rPr>
          <w:tab/>
        </w:r>
        <w:r w:rsidRPr="001F3E1C">
          <w:rPr>
            <w:rStyle w:val="Hypertextovodkaz"/>
            <w:rFonts w:ascii="Times New Roman" w:eastAsiaTheme="majorEastAsia" w:hAnsi="Times New Roman"/>
            <w:noProof/>
            <w:sz w:val="24"/>
            <w:szCs w:val="24"/>
          </w:rPr>
          <w:t>ANALÝZA MOŽNOSTÍ ZAJIŠTĚNÍ RIZIK POMOCÍ ÚROKOVÝCH A MĚNOVÝCH DERIVÁTŮ</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_Toc354393072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54</w:t>
        </w:r>
        <w:r w:rsidRPr="001F3E1C">
          <w:rPr>
            <w:rFonts w:ascii="Times New Roman" w:hAnsi="Times New Roman"/>
            <w:noProof/>
            <w:webHidden/>
            <w:sz w:val="24"/>
            <w:szCs w:val="24"/>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73" w:history="1">
        <w:r w:rsidRPr="001F3E1C">
          <w:rPr>
            <w:rStyle w:val="Hypertextovodkaz"/>
            <w:rFonts w:ascii="Times New Roman" w:eastAsiaTheme="majorEastAsia" w:hAnsi="Times New Roman"/>
            <w:noProof/>
            <w:sz w:val="24"/>
            <w:szCs w:val="24"/>
          </w:rPr>
          <w:t>6.1</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Zajištění úrokového rizika</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_Toc354393073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56</w:t>
        </w:r>
        <w:r w:rsidRPr="001F3E1C">
          <w:rPr>
            <w:rFonts w:ascii="Times New Roman" w:hAnsi="Times New Roman"/>
            <w:noProof/>
            <w:webHidden/>
            <w:sz w:val="24"/>
            <w:szCs w:val="24"/>
          </w:rPr>
          <w:fldChar w:fldCharType="end"/>
        </w:r>
      </w:hyperlink>
    </w:p>
    <w:p w:rsidR="001F3E1C" w:rsidRPr="001F3E1C" w:rsidRDefault="001F3E1C" w:rsidP="001F3E1C">
      <w:pPr>
        <w:pStyle w:val="Obsah3"/>
        <w:rPr>
          <w:rFonts w:eastAsiaTheme="minorEastAsia"/>
          <w:iCs w:val="0"/>
          <w:lang w:eastAsia="cs-CZ"/>
        </w:rPr>
      </w:pPr>
      <w:hyperlink w:anchor="_Toc354393074" w:history="1">
        <w:r w:rsidRPr="001F3E1C">
          <w:rPr>
            <w:rStyle w:val="Hypertextovodkaz"/>
          </w:rPr>
          <w:t>6.1.1</w:t>
        </w:r>
        <w:r w:rsidRPr="001F3E1C">
          <w:rPr>
            <w:rFonts w:eastAsiaTheme="minorEastAsia"/>
            <w:iCs w:val="0"/>
            <w:lang w:eastAsia="cs-CZ"/>
          </w:rPr>
          <w:tab/>
        </w:r>
        <w:r w:rsidRPr="001F3E1C">
          <w:rPr>
            <w:rStyle w:val="Hypertextovodkaz"/>
          </w:rPr>
          <w:t>Zajištění pomocí úrokového swapu</w:t>
        </w:r>
        <w:r w:rsidRPr="001F3E1C">
          <w:rPr>
            <w:webHidden/>
          </w:rPr>
          <w:tab/>
        </w:r>
        <w:r w:rsidRPr="001F3E1C">
          <w:rPr>
            <w:webHidden/>
          </w:rPr>
          <w:fldChar w:fldCharType="begin"/>
        </w:r>
        <w:r w:rsidRPr="001F3E1C">
          <w:rPr>
            <w:webHidden/>
          </w:rPr>
          <w:instrText xml:space="preserve"> PAGEREF _Toc354393074 \h </w:instrText>
        </w:r>
        <w:r w:rsidRPr="001F3E1C">
          <w:rPr>
            <w:webHidden/>
          </w:rPr>
        </w:r>
        <w:r w:rsidRPr="001F3E1C">
          <w:rPr>
            <w:webHidden/>
          </w:rPr>
          <w:fldChar w:fldCharType="separate"/>
        </w:r>
        <w:r w:rsidR="00E477F4">
          <w:rPr>
            <w:webHidden/>
          </w:rPr>
          <w:t>56</w:t>
        </w:r>
        <w:r w:rsidRPr="001F3E1C">
          <w:rPr>
            <w:webHidden/>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75" w:history="1">
        <w:r w:rsidRPr="001F3E1C">
          <w:rPr>
            <w:rStyle w:val="Hypertextovodkaz"/>
            <w:rFonts w:ascii="Times New Roman" w:eastAsiaTheme="majorEastAsia" w:hAnsi="Times New Roman"/>
            <w:noProof/>
            <w:sz w:val="24"/>
            <w:szCs w:val="24"/>
          </w:rPr>
          <w:t>6.2</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Zajištění měnového rizika</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_Toc354393075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60</w:t>
        </w:r>
        <w:r w:rsidRPr="001F3E1C">
          <w:rPr>
            <w:rFonts w:ascii="Times New Roman" w:hAnsi="Times New Roman"/>
            <w:noProof/>
            <w:webHidden/>
            <w:sz w:val="24"/>
            <w:szCs w:val="24"/>
          </w:rPr>
          <w:fldChar w:fldCharType="end"/>
        </w:r>
      </w:hyperlink>
    </w:p>
    <w:p w:rsidR="001F3E1C" w:rsidRPr="001F3E1C" w:rsidRDefault="001F3E1C" w:rsidP="001F3E1C">
      <w:pPr>
        <w:pStyle w:val="Obsah3"/>
        <w:rPr>
          <w:rFonts w:eastAsiaTheme="minorEastAsia"/>
          <w:iCs w:val="0"/>
          <w:lang w:eastAsia="cs-CZ"/>
        </w:rPr>
      </w:pPr>
      <w:hyperlink w:anchor="_Toc354393076" w:history="1">
        <w:r w:rsidRPr="001F3E1C">
          <w:rPr>
            <w:rStyle w:val="Hypertextovodkaz"/>
          </w:rPr>
          <w:t>6.2.1</w:t>
        </w:r>
        <w:r w:rsidRPr="001F3E1C">
          <w:rPr>
            <w:rFonts w:eastAsiaTheme="minorEastAsia"/>
            <w:iCs w:val="0"/>
            <w:lang w:eastAsia="cs-CZ"/>
          </w:rPr>
          <w:tab/>
        </w:r>
        <w:r w:rsidRPr="001F3E1C">
          <w:rPr>
            <w:rStyle w:val="Hypertextovodkaz"/>
          </w:rPr>
          <w:t>Zajištění pomocí měnových forwardů</w:t>
        </w:r>
        <w:r w:rsidRPr="001F3E1C">
          <w:rPr>
            <w:webHidden/>
          </w:rPr>
          <w:tab/>
        </w:r>
        <w:r w:rsidRPr="001F3E1C">
          <w:rPr>
            <w:webHidden/>
          </w:rPr>
          <w:fldChar w:fldCharType="begin"/>
        </w:r>
        <w:r w:rsidRPr="001F3E1C">
          <w:rPr>
            <w:webHidden/>
          </w:rPr>
          <w:instrText xml:space="preserve"> PAGEREF _Toc354393076 \h </w:instrText>
        </w:r>
        <w:r w:rsidRPr="001F3E1C">
          <w:rPr>
            <w:webHidden/>
          </w:rPr>
        </w:r>
        <w:r w:rsidRPr="001F3E1C">
          <w:rPr>
            <w:webHidden/>
          </w:rPr>
          <w:fldChar w:fldCharType="separate"/>
        </w:r>
        <w:r w:rsidR="00E477F4">
          <w:rPr>
            <w:webHidden/>
          </w:rPr>
          <w:t>61</w:t>
        </w:r>
        <w:r w:rsidRPr="001F3E1C">
          <w:rPr>
            <w:webHidden/>
          </w:rPr>
          <w:fldChar w:fldCharType="end"/>
        </w:r>
      </w:hyperlink>
    </w:p>
    <w:p w:rsidR="001F3E1C" w:rsidRPr="001F3E1C" w:rsidRDefault="001F3E1C" w:rsidP="001F3E1C">
      <w:pPr>
        <w:pStyle w:val="Obsah3"/>
        <w:rPr>
          <w:rFonts w:eastAsiaTheme="minorEastAsia"/>
          <w:iCs w:val="0"/>
          <w:lang w:eastAsia="cs-CZ"/>
        </w:rPr>
      </w:pPr>
      <w:hyperlink w:anchor="_Toc354393077" w:history="1">
        <w:r w:rsidRPr="001F3E1C">
          <w:rPr>
            <w:rStyle w:val="Hypertextovodkaz"/>
          </w:rPr>
          <w:t>6.2.2</w:t>
        </w:r>
        <w:r w:rsidRPr="001F3E1C">
          <w:rPr>
            <w:rFonts w:eastAsiaTheme="minorEastAsia"/>
            <w:iCs w:val="0"/>
            <w:lang w:eastAsia="cs-CZ"/>
          </w:rPr>
          <w:tab/>
        </w:r>
        <w:r w:rsidRPr="001F3E1C">
          <w:rPr>
            <w:rStyle w:val="Hypertextovodkaz"/>
          </w:rPr>
          <w:t>Zajištění pomocí měnových futures</w:t>
        </w:r>
        <w:r w:rsidRPr="001F3E1C">
          <w:rPr>
            <w:webHidden/>
          </w:rPr>
          <w:tab/>
        </w:r>
        <w:r w:rsidRPr="001F3E1C">
          <w:rPr>
            <w:webHidden/>
          </w:rPr>
          <w:fldChar w:fldCharType="begin"/>
        </w:r>
        <w:r w:rsidRPr="001F3E1C">
          <w:rPr>
            <w:webHidden/>
          </w:rPr>
          <w:instrText xml:space="preserve"> PAGEREF _Toc354393077 \h </w:instrText>
        </w:r>
        <w:r w:rsidRPr="001F3E1C">
          <w:rPr>
            <w:webHidden/>
          </w:rPr>
        </w:r>
        <w:r w:rsidRPr="001F3E1C">
          <w:rPr>
            <w:webHidden/>
          </w:rPr>
          <w:fldChar w:fldCharType="separate"/>
        </w:r>
        <w:r w:rsidR="00E477F4">
          <w:rPr>
            <w:webHidden/>
          </w:rPr>
          <w:t>63</w:t>
        </w:r>
        <w:r w:rsidRPr="001F3E1C">
          <w:rPr>
            <w:webHidden/>
          </w:rPr>
          <w:fldChar w:fldCharType="end"/>
        </w:r>
      </w:hyperlink>
    </w:p>
    <w:p w:rsidR="001F3E1C" w:rsidRPr="001F3E1C" w:rsidRDefault="001F3E1C" w:rsidP="001F3E1C">
      <w:pPr>
        <w:pStyle w:val="Obsah3"/>
        <w:rPr>
          <w:rFonts w:eastAsiaTheme="minorEastAsia"/>
          <w:iCs w:val="0"/>
          <w:lang w:eastAsia="cs-CZ"/>
        </w:rPr>
      </w:pPr>
      <w:hyperlink w:anchor="_Toc354393078" w:history="1">
        <w:r w:rsidRPr="001F3E1C">
          <w:rPr>
            <w:rStyle w:val="Hypertextovodkaz"/>
          </w:rPr>
          <w:t>6.2.3</w:t>
        </w:r>
        <w:r w:rsidRPr="001F3E1C">
          <w:rPr>
            <w:rFonts w:eastAsiaTheme="minorEastAsia"/>
            <w:iCs w:val="0"/>
            <w:lang w:eastAsia="cs-CZ"/>
          </w:rPr>
          <w:tab/>
        </w:r>
        <w:r w:rsidRPr="001F3E1C">
          <w:rPr>
            <w:rStyle w:val="Hypertextovodkaz"/>
          </w:rPr>
          <w:t>Zajištění pomocí měnových opcí</w:t>
        </w:r>
        <w:r w:rsidRPr="001F3E1C">
          <w:rPr>
            <w:webHidden/>
          </w:rPr>
          <w:tab/>
        </w:r>
        <w:r w:rsidRPr="001F3E1C">
          <w:rPr>
            <w:webHidden/>
          </w:rPr>
          <w:fldChar w:fldCharType="begin"/>
        </w:r>
        <w:r w:rsidRPr="001F3E1C">
          <w:rPr>
            <w:webHidden/>
          </w:rPr>
          <w:instrText xml:space="preserve"> PAGEREF _Toc354393078 \h </w:instrText>
        </w:r>
        <w:r w:rsidRPr="001F3E1C">
          <w:rPr>
            <w:webHidden/>
          </w:rPr>
        </w:r>
        <w:r w:rsidRPr="001F3E1C">
          <w:rPr>
            <w:webHidden/>
          </w:rPr>
          <w:fldChar w:fldCharType="separate"/>
        </w:r>
        <w:r w:rsidR="00E477F4">
          <w:rPr>
            <w:webHidden/>
          </w:rPr>
          <w:t>69</w:t>
        </w:r>
        <w:r w:rsidRPr="001F3E1C">
          <w:rPr>
            <w:webHidden/>
          </w:rPr>
          <w:fldChar w:fldCharType="end"/>
        </w:r>
      </w:hyperlink>
    </w:p>
    <w:p w:rsidR="001F3E1C" w:rsidRPr="001F3E1C" w:rsidRDefault="001F3E1C" w:rsidP="001F3E1C">
      <w:pPr>
        <w:pStyle w:val="Obsah2"/>
        <w:tabs>
          <w:tab w:val="left" w:pos="720"/>
          <w:tab w:val="right" w:leader="dot" w:pos="9060"/>
        </w:tabs>
        <w:spacing w:line="276" w:lineRule="auto"/>
        <w:rPr>
          <w:rFonts w:ascii="Times New Roman" w:eastAsiaTheme="minorEastAsia" w:hAnsi="Times New Roman"/>
          <w:smallCaps w:val="0"/>
          <w:noProof/>
          <w:sz w:val="24"/>
          <w:szCs w:val="24"/>
          <w:lang w:eastAsia="cs-CZ"/>
        </w:rPr>
      </w:pPr>
      <w:hyperlink w:anchor="_Toc354393079" w:history="1">
        <w:r w:rsidRPr="001F3E1C">
          <w:rPr>
            <w:rStyle w:val="Hypertextovodkaz"/>
            <w:rFonts w:ascii="Times New Roman" w:eastAsiaTheme="majorEastAsia" w:hAnsi="Times New Roman"/>
            <w:noProof/>
            <w:sz w:val="24"/>
            <w:szCs w:val="24"/>
          </w:rPr>
          <w:t>6.3</w:t>
        </w:r>
        <w:r w:rsidRPr="001F3E1C">
          <w:rPr>
            <w:rFonts w:ascii="Times New Roman" w:eastAsiaTheme="minorEastAsia" w:hAnsi="Times New Roman"/>
            <w:smallCaps w:val="0"/>
            <w:noProof/>
            <w:sz w:val="24"/>
            <w:szCs w:val="24"/>
            <w:lang w:eastAsia="cs-CZ"/>
          </w:rPr>
          <w:tab/>
        </w:r>
        <w:r w:rsidRPr="001F3E1C">
          <w:rPr>
            <w:rStyle w:val="Hypertextovodkaz"/>
            <w:rFonts w:ascii="Times New Roman" w:eastAsiaTheme="majorEastAsia" w:hAnsi="Times New Roman"/>
            <w:noProof/>
            <w:sz w:val="24"/>
            <w:szCs w:val="24"/>
          </w:rPr>
          <w:t>Optimální volba zajištění</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_Toc354393079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77</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80" w:history="1">
        <w:r w:rsidRPr="001F3E1C">
          <w:rPr>
            <w:rStyle w:val="Hypertextovodkaz"/>
            <w:rFonts w:ascii="Times New Roman" w:eastAsiaTheme="majorEastAsia" w:hAnsi="Times New Roman"/>
            <w:noProof/>
            <w:sz w:val="24"/>
            <w:szCs w:val="24"/>
          </w:rPr>
          <w:t>ZÁVĚR</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_Toc354393080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80</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81" w:history="1">
        <w:r w:rsidRPr="001F3E1C">
          <w:rPr>
            <w:rStyle w:val="Hypertextovodkaz"/>
            <w:rFonts w:ascii="Times New Roman" w:eastAsiaTheme="majorEastAsia" w:hAnsi="Times New Roman"/>
            <w:noProof/>
            <w:sz w:val="24"/>
            <w:szCs w:val="24"/>
          </w:rPr>
          <w:t>SEZNAM POUŽITÝCH ZDROJŮ</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_Toc354393081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82</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82" w:history="1">
        <w:r w:rsidRPr="001F3E1C">
          <w:rPr>
            <w:rStyle w:val="Hypertextovodkaz"/>
            <w:rFonts w:ascii="Times New Roman" w:eastAsiaTheme="majorEastAsia" w:hAnsi="Times New Roman"/>
            <w:noProof/>
            <w:sz w:val="24"/>
            <w:szCs w:val="24"/>
          </w:rPr>
          <w:t>SEZNAM OBRÁZKŮ</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_Toc354393082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85</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83" w:history="1">
        <w:r w:rsidRPr="001F3E1C">
          <w:rPr>
            <w:rStyle w:val="Hypertextovodkaz"/>
            <w:rFonts w:ascii="Times New Roman" w:eastAsiaTheme="majorEastAsia" w:hAnsi="Times New Roman"/>
            <w:noProof/>
            <w:sz w:val="24"/>
            <w:szCs w:val="24"/>
          </w:rPr>
          <w:t>SEZNAM TABULEK</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_Toc354393083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85</w:t>
        </w:r>
        <w:r w:rsidRPr="001F3E1C">
          <w:rPr>
            <w:rFonts w:ascii="Times New Roman" w:hAnsi="Times New Roman"/>
            <w:noProof/>
            <w:webHidden/>
            <w:sz w:val="24"/>
            <w:szCs w:val="24"/>
          </w:rPr>
          <w:fldChar w:fldCharType="end"/>
        </w:r>
      </w:hyperlink>
    </w:p>
    <w:p w:rsidR="001F3E1C" w:rsidRPr="001F3E1C" w:rsidRDefault="001F3E1C" w:rsidP="001F3E1C">
      <w:pPr>
        <w:pStyle w:val="Obsah1"/>
        <w:rPr>
          <w:rFonts w:ascii="Times New Roman" w:eastAsiaTheme="minorEastAsia" w:hAnsi="Times New Roman"/>
          <w:b w:val="0"/>
          <w:bCs w:val="0"/>
          <w:caps w:val="0"/>
          <w:noProof/>
          <w:sz w:val="24"/>
          <w:szCs w:val="24"/>
          <w:lang w:eastAsia="cs-CZ"/>
        </w:rPr>
      </w:pPr>
      <w:hyperlink w:anchor="_Toc354393084" w:history="1">
        <w:r w:rsidRPr="001F3E1C">
          <w:rPr>
            <w:rStyle w:val="Hypertextovodkaz"/>
            <w:rFonts w:ascii="Times New Roman" w:eastAsiaTheme="majorEastAsia" w:hAnsi="Times New Roman"/>
            <w:noProof/>
            <w:sz w:val="24"/>
            <w:szCs w:val="24"/>
          </w:rPr>
          <w:t>SEZNAM POUŽITÝCH ZKRATEK</w:t>
        </w:r>
        <w:r w:rsidRPr="001F3E1C">
          <w:rPr>
            <w:rFonts w:ascii="Times New Roman" w:hAnsi="Times New Roman"/>
            <w:noProof/>
            <w:webHidden/>
            <w:sz w:val="24"/>
            <w:szCs w:val="24"/>
          </w:rPr>
          <w:tab/>
        </w:r>
        <w:r w:rsidRPr="001F3E1C">
          <w:rPr>
            <w:rFonts w:ascii="Times New Roman" w:hAnsi="Times New Roman"/>
            <w:noProof/>
            <w:webHidden/>
            <w:sz w:val="24"/>
            <w:szCs w:val="24"/>
          </w:rPr>
          <w:fldChar w:fldCharType="begin"/>
        </w:r>
        <w:r w:rsidRPr="001F3E1C">
          <w:rPr>
            <w:rFonts w:ascii="Times New Roman" w:hAnsi="Times New Roman"/>
            <w:noProof/>
            <w:webHidden/>
            <w:sz w:val="24"/>
            <w:szCs w:val="24"/>
          </w:rPr>
          <w:instrText xml:space="preserve"> PAGEREF _Toc354393084 \h </w:instrText>
        </w:r>
        <w:r w:rsidRPr="001F3E1C">
          <w:rPr>
            <w:rFonts w:ascii="Times New Roman" w:hAnsi="Times New Roman"/>
            <w:noProof/>
            <w:webHidden/>
            <w:sz w:val="24"/>
            <w:szCs w:val="24"/>
          </w:rPr>
        </w:r>
        <w:r w:rsidRPr="001F3E1C">
          <w:rPr>
            <w:rFonts w:ascii="Times New Roman" w:hAnsi="Times New Roman"/>
            <w:noProof/>
            <w:webHidden/>
            <w:sz w:val="24"/>
            <w:szCs w:val="24"/>
          </w:rPr>
          <w:fldChar w:fldCharType="separate"/>
        </w:r>
        <w:r w:rsidR="00E477F4">
          <w:rPr>
            <w:rFonts w:ascii="Times New Roman" w:hAnsi="Times New Roman"/>
            <w:noProof/>
            <w:webHidden/>
            <w:sz w:val="24"/>
            <w:szCs w:val="24"/>
          </w:rPr>
          <w:t>86</w:t>
        </w:r>
        <w:r w:rsidRPr="001F3E1C">
          <w:rPr>
            <w:rFonts w:ascii="Times New Roman" w:hAnsi="Times New Roman"/>
            <w:noProof/>
            <w:webHidden/>
            <w:sz w:val="24"/>
            <w:szCs w:val="24"/>
          </w:rPr>
          <w:fldChar w:fldCharType="end"/>
        </w:r>
      </w:hyperlink>
    </w:p>
    <w:p w:rsidR="008122F3" w:rsidRPr="00145849" w:rsidRDefault="00FA567C" w:rsidP="001F3E1C">
      <w:pPr>
        <w:spacing w:line="276" w:lineRule="auto"/>
        <w:jc w:val="both"/>
        <w:rPr>
          <w:kern w:val="28"/>
          <w:lang w:eastAsia="cs-CZ"/>
        </w:rPr>
      </w:pPr>
      <w:r w:rsidRPr="001F3E1C">
        <w:rPr>
          <w:kern w:val="28"/>
          <w:lang w:eastAsia="cs-CZ"/>
        </w:rPr>
        <w:fldChar w:fldCharType="end"/>
      </w:r>
    </w:p>
    <w:p w:rsidR="007058FE" w:rsidRDefault="008122F3">
      <w:pPr>
        <w:suppressAutoHyphens w:val="0"/>
        <w:spacing w:after="200" w:line="276" w:lineRule="auto"/>
        <w:sectPr w:rsidR="007058FE" w:rsidSect="003D7899">
          <w:footerReference w:type="even" r:id="rId9"/>
          <w:footerReference w:type="default" r:id="rId10"/>
          <w:pgSz w:w="11906" w:h="16838"/>
          <w:pgMar w:top="1418" w:right="851" w:bottom="1134" w:left="1985" w:header="709" w:footer="709" w:gutter="0"/>
          <w:cols w:space="708"/>
          <w:docGrid w:linePitch="360"/>
        </w:sectPr>
      </w:pPr>
      <w:bookmarkStart w:id="1" w:name="_Toc353550116"/>
      <w:r>
        <w:br w:type="page"/>
      </w:r>
    </w:p>
    <w:p w:rsidR="00E70BEF" w:rsidRDefault="00E70BEF" w:rsidP="002017B9">
      <w:pPr>
        <w:pStyle w:val="Nadpis1"/>
        <w:numPr>
          <w:ilvl w:val="0"/>
          <w:numId w:val="0"/>
        </w:numPr>
        <w:ind w:left="432" w:hanging="432"/>
      </w:pPr>
      <w:bookmarkStart w:id="2" w:name="_Toc354393041"/>
      <w:r>
        <w:lastRenderedPageBreak/>
        <w:t>ÚVOD</w:t>
      </w:r>
      <w:bookmarkEnd w:id="2"/>
    </w:p>
    <w:p w:rsidR="00E70BEF" w:rsidRDefault="00E70BEF">
      <w:pPr>
        <w:suppressAutoHyphens w:val="0"/>
        <w:spacing w:after="200" w:line="276" w:lineRule="auto"/>
        <w:rPr>
          <w:b/>
          <w:kern w:val="28"/>
          <w:szCs w:val="20"/>
          <w:lang w:eastAsia="cs-CZ"/>
        </w:rPr>
      </w:pPr>
    </w:p>
    <w:p w:rsidR="00F913AC" w:rsidRDefault="00F913AC" w:rsidP="00F913AC">
      <w:pPr>
        <w:suppressAutoHyphens w:val="0"/>
        <w:spacing w:after="200" w:line="276" w:lineRule="auto"/>
        <w:jc w:val="both"/>
        <w:rPr>
          <w:kern w:val="28"/>
          <w:szCs w:val="20"/>
          <w:lang w:eastAsia="cs-CZ"/>
        </w:rPr>
      </w:pPr>
      <w:r w:rsidRPr="00A151D0">
        <w:rPr>
          <w:kern w:val="28"/>
          <w:szCs w:val="20"/>
          <w:lang w:eastAsia="cs-CZ"/>
        </w:rPr>
        <w:t>V době nejistoty se obchodníci a investoři pokoušejí nacházet možná východiska z nepříznivé situace.</w:t>
      </w:r>
      <w:r>
        <w:rPr>
          <w:kern w:val="28"/>
          <w:szCs w:val="20"/>
          <w:lang w:eastAsia="cs-CZ"/>
        </w:rPr>
        <w:t xml:space="preserve"> Zemědělci hledají možnosti, jak se zajistit proti sezónním výkyvům produkce, výrobci se snaží předejít </w:t>
      </w:r>
      <w:r w:rsidR="00C64E2A">
        <w:rPr>
          <w:kern w:val="28"/>
          <w:szCs w:val="20"/>
          <w:lang w:eastAsia="cs-CZ"/>
        </w:rPr>
        <w:t>kolísáním cen vstupních nákladů a</w:t>
      </w:r>
      <w:r>
        <w:rPr>
          <w:kern w:val="28"/>
          <w:szCs w:val="20"/>
          <w:lang w:eastAsia="cs-CZ"/>
        </w:rPr>
        <w:t xml:space="preserve"> </w:t>
      </w:r>
      <w:r w:rsidR="00CA6BDE">
        <w:rPr>
          <w:kern w:val="28"/>
          <w:szCs w:val="20"/>
          <w:lang w:eastAsia="cs-CZ"/>
        </w:rPr>
        <w:t>cílem investorů je</w:t>
      </w:r>
      <w:r w:rsidR="00D55E77">
        <w:rPr>
          <w:kern w:val="28"/>
          <w:szCs w:val="20"/>
          <w:lang w:eastAsia="cs-CZ"/>
        </w:rPr>
        <w:t xml:space="preserve"> pojistit</w:t>
      </w:r>
      <w:r w:rsidR="00CA6BDE">
        <w:rPr>
          <w:kern w:val="28"/>
          <w:szCs w:val="20"/>
          <w:lang w:eastAsia="cs-CZ"/>
        </w:rPr>
        <w:t xml:space="preserve"> se</w:t>
      </w:r>
      <w:r w:rsidR="00D55E77">
        <w:rPr>
          <w:kern w:val="28"/>
          <w:szCs w:val="20"/>
          <w:lang w:eastAsia="cs-CZ"/>
        </w:rPr>
        <w:t xml:space="preserve"> proti možných ekonomickým šokům. </w:t>
      </w:r>
      <w:r w:rsidR="00C27CB0">
        <w:rPr>
          <w:kern w:val="28"/>
          <w:szCs w:val="20"/>
          <w:lang w:eastAsia="cs-CZ"/>
        </w:rPr>
        <w:t>Tyto tendence zapříčinily vznik novodobých</w:t>
      </w:r>
      <w:r w:rsidR="00D55E77">
        <w:rPr>
          <w:kern w:val="28"/>
          <w:szCs w:val="20"/>
          <w:lang w:eastAsia="cs-CZ"/>
        </w:rPr>
        <w:t xml:space="preserve"> deri</w:t>
      </w:r>
      <w:r w:rsidR="00C27CB0">
        <w:rPr>
          <w:kern w:val="28"/>
          <w:szCs w:val="20"/>
          <w:lang w:eastAsia="cs-CZ"/>
        </w:rPr>
        <w:t>vátů</w:t>
      </w:r>
      <w:r w:rsidR="00D55E77">
        <w:rPr>
          <w:kern w:val="28"/>
          <w:szCs w:val="20"/>
          <w:lang w:eastAsia="cs-CZ"/>
        </w:rPr>
        <w:t xml:space="preserve">. </w:t>
      </w:r>
      <w:r w:rsidR="005E25F5">
        <w:rPr>
          <w:kern w:val="28"/>
          <w:szCs w:val="20"/>
          <w:lang w:eastAsia="cs-CZ"/>
        </w:rPr>
        <w:t xml:space="preserve">Prostřednictvím derivátů mohou obchodníci zajistit do budoucna ceny požadovaných aktiv. </w:t>
      </w:r>
      <w:r w:rsidR="005C7F86">
        <w:rPr>
          <w:kern w:val="28"/>
          <w:szCs w:val="20"/>
          <w:lang w:eastAsia="cs-CZ"/>
        </w:rPr>
        <w:t>P</w:t>
      </w:r>
      <w:r w:rsidR="00D55E77">
        <w:rPr>
          <w:kern w:val="28"/>
          <w:szCs w:val="20"/>
          <w:lang w:eastAsia="cs-CZ"/>
        </w:rPr>
        <w:t xml:space="preserve">rvotním úkolem </w:t>
      </w:r>
      <w:r w:rsidR="005C7F86">
        <w:rPr>
          <w:kern w:val="28"/>
          <w:szCs w:val="20"/>
          <w:lang w:eastAsia="cs-CZ"/>
        </w:rPr>
        <w:t xml:space="preserve">těchto instrumentů </w:t>
      </w:r>
      <w:r w:rsidR="00D55E77">
        <w:rPr>
          <w:kern w:val="28"/>
          <w:szCs w:val="20"/>
          <w:lang w:eastAsia="cs-CZ"/>
        </w:rPr>
        <w:t xml:space="preserve">bylo </w:t>
      </w:r>
      <w:r w:rsidR="00C64E2A">
        <w:rPr>
          <w:kern w:val="28"/>
          <w:szCs w:val="20"/>
          <w:lang w:eastAsia="cs-CZ"/>
        </w:rPr>
        <w:t>snížení či úplná</w:t>
      </w:r>
      <w:r w:rsidR="005E25F5">
        <w:rPr>
          <w:kern w:val="28"/>
          <w:szCs w:val="20"/>
          <w:lang w:eastAsia="cs-CZ"/>
        </w:rPr>
        <w:t xml:space="preserve"> eliminace tržních rizik.</w:t>
      </w:r>
    </w:p>
    <w:p w:rsidR="00F913AC" w:rsidRDefault="005E25F5" w:rsidP="00E70BEF">
      <w:pPr>
        <w:suppressAutoHyphens w:val="0"/>
        <w:spacing w:after="200" w:line="276" w:lineRule="auto"/>
        <w:jc w:val="both"/>
        <w:rPr>
          <w:kern w:val="28"/>
          <w:szCs w:val="20"/>
          <w:lang w:eastAsia="cs-CZ"/>
        </w:rPr>
      </w:pPr>
      <w:r>
        <w:rPr>
          <w:kern w:val="28"/>
          <w:szCs w:val="20"/>
          <w:lang w:eastAsia="cs-CZ"/>
        </w:rPr>
        <w:t xml:space="preserve">Ač jsou deriváty </w:t>
      </w:r>
      <w:r w:rsidR="005C7F86">
        <w:rPr>
          <w:kern w:val="28"/>
          <w:szCs w:val="20"/>
          <w:lang w:eastAsia="cs-CZ"/>
        </w:rPr>
        <w:t xml:space="preserve">na finančních trzích </w:t>
      </w:r>
      <w:r>
        <w:rPr>
          <w:kern w:val="28"/>
          <w:szCs w:val="20"/>
          <w:lang w:eastAsia="cs-CZ"/>
        </w:rPr>
        <w:t xml:space="preserve">poměrně mladým instrumentem, </w:t>
      </w:r>
      <w:r w:rsidR="005C7F86">
        <w:rPr>
          <w:kern w:val="28"/>
          <w:szCs w:val="20"/>
          <w:lang w:eastAsia="cs-CZ"/>
        </w:rPr>
        <w:t xml:space="preserve">staly se </w:t>
      </w:r>
      <w:r>
        <w:rPr>
          <w:kern w:val="28"/>
          <w:szCs w:val="20"/>
          <w:lang w:eastAsia="cs-CZ"/>
        </w:rPr>
        <w:t>brzy jejich nedílnou s</w:t>
      </w:r>
      <w:r w:rsidR="00D55E77">
        <w:rPr>
          <w:kern w:val="28"/>
          <w:szCs w:val="20"/>
          <w:lang w:eastAsia="cs-CZ"/>
        </w:rPr>
        <w:t xml:space="preserve">oučástí. Kromě zajištění je začali investoři využívat </w:t>
      </w:r>
      <w:r>
        <w:rPr>
          <w:kern w:val="28"/>
          <w:szCs w:val="20"/>
          <w:lang w:eastAsia="cs-CZ"/>
        </w:rPr>
        <w:t xml:space="preserve">také </w:t>
      </w:r>
      <w:r w:rsidR="00D55E77">
        <w:rPr>
          <w:kern w:val="28"/>
          <w:szCs w:val="20"/>
          <w:lang w:eastAsia="cs-CZ"/>
        </w:rPr>
        <w:t>ke spekulacím</w:t>
      </w:r>
      <w:r w:rsidR="00F74B1E">
        <w:rPr>
          <w:kern w:val="28"/>
          <w:szCs w:val="20"/>
          <w:lang w:eastAsia="cs-CZ"/>
        </w:rPr>
        <w:t xml:space="preserve">, které s sebou při správném odhadu vývoje cen přináší možnost </w:t>
      </w:r>
      <w:r>
        <w:rPr>
          <w:kern w:val="28"/>
          <w:szCs w:val="20"/>
          <w:lang w:eastAsia="cs-CZ"/>
        </w:rPr>
        <w:t>vysokých</w:t>
      </w:r>
      <w:r w:rsidR="00D55E77">
        <w:rPr>
          <w:kern w:val="28"/>
          <w:szCs w:val="20"/>
          <w:lang w:eastAsia="cs-CZ"/>
        </w:rPr>
        <w:t xml:space="preserve"> zisků</w:t>
      </w:r>
      <w:r>
        <w:rPr>
          <w:kern w:val="28"/>
          <w:szCs w:val="20"/>
          <w:lang w:eastAsia="cs-CZ"/>
        </w:rPr>
        <w:t xml:space="preserve">. Všeobecně začal být </w:t>
      </w:r>
      <w:r w:rsidR="00F74B1E">
        <w:rPr>
          <w:kern w:val="28"/>
          <w:szCs w:val="20"/>
          <w:lang w:eastAsia="cs-CZ"/>
        </w:rPr>
        <w:t xml:space="preserve">také </w:t>
      </w:r>
      <w:r>
        <w:rPr>
          <w:kern w:val="28"/>
          <w:szCs w:val="20"/>
          <w:lang w:eastAsia="cs-CZ"/>
        </w:rPr>
        <w:t xml:space="preserve">vyvíjen tlak na podnikatele, aby svá rizika začali </w:t>
      </w:r>
      <w:r w:rsidR="00612708">
        <w:rPr>
          <w:kern w:val="28"/>
          <w:szCs w:val="20"/>
          <w:lang w:eastAsia="cs-CZ"/>
        </w:rPr>
        <w:t>efektivně řídit,</w:t>
      </w:r>
      <w:r w:rsidR="005C7F86">
        <w:rPr>
          <w:kern w:val="28"/>
          <w:szCs w:val="20"/>
          <w:lang w:eastAsia="cs-CZ"/>
        </w:rPr>
        <w:t xml:space="preserve"> a to</w:t>
      </w:r>
      <w:r w:rsidR="00CA6BDE">
        <w:rPr>
          <w:kern w:val="28"/>
          <w:szCs w:val="20"/>
          <w:lang w:eastAsia="cs-CZ"/>
        </w:rPr>
        <w:t xml:space="preserve"> např. právě pomocí derivátů.</w:t>
      </w:r>
    </w:p>
    <w:p w:rsidR="005C7F86" w:rsidRDefault="00612708" w:rsidP="00E70BEF">
      <w:pPr>
        <w:suppressAutoHyphens w:val="0"/>
        <w:spacing w:after="200" w:line="276" w:lineRule="auto"/>
        <w:jc w:val="both"/>
        <w:rPr>
          <w:kern w:val="28"/>
          <w:szCs w:val="20"/>
          <w:lang w:eastAsia="cs-CZ"/>
        </w:rPr>
      </w:pPr>
      <w:r>
        <w:rPr>
          <w:kern w:val="28"/>
          <w:szCs w:val="20"/>
          <w:lang w:eastAsia="cs-CZ"/>
        </w:rPr>
        <w:t xml:space="preserve">Derivátové trhy jsou neustále se vyvíjející oblastí. Jsou nabízeny stále nové a modifikovanější instrumenty. To </w:t>
      </w:r>
      <w:r w:rsidR="005C7F86">
        <w:rPr>
          <w:kern w:val="28"/>
          <w:szCs w:val="20"/>
          <w:lang w:eastAsia="cs-CZ"/>
        </w:rPr>
        <w:t xml:space="preserve">s sebou </w:t>
      </w:r>
      <w:r>
        <w:rPr>
          <w:kern w:val="28"/>
          <w:szCs w:val="20"/>
          <w:lang w:eastAsia="cs-CZ"/>
        </w:rPr>
        <w:t xml:space="preserve">ovšem </w:t>
      </w:r>
      <w:r w:rsidR="005C7F86">
        <w:rPr>
          <w:kern w:val="28"/>
          <w:szCs w:val="20"/>
          <w:lang w:eastAsia="cs-CZ"/>
        </w:rPr>
        <w:t>přináší zvýšené nároky kladené na investory, pro které je</w:t>
      </w:r>
      <w:r w:rsidR="006A44EE">
        <w:rPr>
          <w:kern w:val="28"/>
          <w:szCs w:val="20"/>
          <w:lang w:eastAsia="cs-CZ"/>
        </w:rPr>
        <w:t> </w:t>
      </w:r>
      <w:r w:rsidR="005C7F86">
        <w:rPr>
          <w:kern w:val="28"/>
          <w:szCs w:val="20"/>
          <w:lang w:eastAsia="cs-CZ"/>
        </w:rPr>
        <w:t xml:space="preserve">naopak </w:t>
      </w:r>
      <w:r>
        <w:rPr>
          <w:kern w:val="28"/>
          <w:szCs w:val="20"/>
          <w:lang w:eastAsia="cs-CZ"/>
        </w:rPr>
        <w:t>stále obtížnější se v nepřeberném množství druhů derivátů orientovat. Pro</w:t>
      </w:r>
      <w:r w:rsidR="006A44EE">
        <w:rPr>
          <w:kern w:val="28"/>
          <w:szCs w:val="20"/>
          <w:lang w:eastAsia="cs-CZ"/>
        </w:rPr>
        <w:t> </w:t>
      </w:r>
      <w:r>
        <w:rPr>
          <w:kern w:val="28"/>
          <w:szCs w:val="20"/>
          <w:lang w:eastAsia="cs-CZ"/>
        </w:rPr>
        <w:t>obchodování s deriváty je však jejich správné pochopení základním požadavkem. Bývalý předseda SEC</w:t>
      </w:r>
      <w:r>
        <w:rPr>
          <w:rStyle w:val="Znakapoznpodarou"/>
          <w:kern w:val="28"/>
          <w:szCs w:val="20"/>
          <w:lang w:eastAsia="cs-CZ"/>
        </w:rPr>
        <w:footnoteReference w:id="1"/>
      </w:r>
      <w:r w:rsidR="00260B94">
        <w:rPr>
          <w:kern w:val="28"/>
          <w:szCs w:val="20"/>
          <w:lang w:eastAsia="cs-CZ"/>
        </w:rPr>
        <w:t>,</w:t>
      </w:r>
      <w:r>
        <w:rPr>
          <w:kern w:val="28"/>
          <w:szCs w:val="20"/>
          <w:lang w:eastAsia="cs-CZ"/>
        </w:rPr>
        <w:t xml:space="preserve"> Arthur Leavitt</w:t>
      </w:r>
      <w:r w:rsidR="00260B94">
        <w:rPr>
          <w:kern w:val="28"/>
          <w:szCs w:val="20"/>
          <w:lang w:eastAsia="cs-CZ"/>
        </w:rPr>
        <w:t>,</w:t>
      </w:r>
      <w:r>
        <w:rPr>
          <w:kern w:val="28"/>
          <w:szCs w:val="20"/>
          <w:lang w:eastAsia="cs-CZ"/>
        </w:rPr>
        <w:t xml:space="preserve"> </w:t>
      </w:r>
      <w:r w:rsidR="00C64E2A">
        <w:rPr>
          <w:kern w:val="28"/>
          <w:szCs w:val="20"/>
          <w:lang w:eastAsia="cs-CZ"/>
        </w:rPr>
        <w:t>o</w:t>
      </w:r>
      <w:r w:rsidR="00260B94">
        <w:rPr>
          <w:kern w:val="28"/>
          <w:szCs w:val="20"/>
          <w:lang w:eastAsia="cs-CZ"/>
        </w:rPr>
        <w:t> </w:t>
      </w:r>
      <w:r w:rsidR="00C64E2A">
        <w:rPr>
          <w:kern w:val="28"/>
          <w:szCs w:val="20"/>
          <w:lang w:eastAsia="cs-CZ"/>
        </w:rPr>
        <w:t xml:space="preserve">derivátech </w:t>
      </w:r>
      <w:r>
        <w:rPr>
          <w:kern w:val="28"/>
          <w:szCs w:val="20"/>
          <w:lang w:eastAsia="cs-CZ"/>
        </w:rPr>
        <w:t>prohlásil:</w:t>
      </w:r>
      <w:r w:rsidR="00233E2C">
        <w:rPr>
          <w:rStyle w:val="Znakapoznpodarou"/>
          <w:kern w:val="28"/>
          <w:szCs w:val="20"/>
          <w:lang w:eastAsia="cs-CZ"/>
        </w:rPr>
        <w:footnoteReference w:id="2"/>
      </w:r>
      <w:r>
        <w:rPr>
          <w:kern w:val="28"/>
          <w:szCs w:val="20"/>
          <w:lang w:eastAsia="cs-CZ"/>
        </w:rPr>
        <w:t xml:space="preserve"> </w:t>
      </w:r>
    </w:p>
    <w:p w:rsidR="00612708" w:rsidRDefault="00612708" w:rsidP="00612708">
      <w:pPr>
        <w:suppressAutoHyphens w:val="0"/>
        <w:spacing w:after="200" w:line="276" w:lineRule="auto"/>
        <w:jc w:val="center"/>
        <w:rPr>
          <w:i/>
          <w:szCs w:val="26"/>
        </w:rPr>
      </w:pPr>
      <w:r w:rsidRPr="005C7F86">
        <w:rPr>
          <w:i/>
          <w:szCs w:val="26"/>
        </w:rPr>
        <w:t xml:space="preserve">"Deriváty jsou něco jako elektřina. </w:t>
      </w:r>
      <w:r w:rsidR="00D873E7">
        <w:rPr>
          <w:i/>
          <w:szCs w:val="26"/>
        </w:rPr>
        <w:t>N</w:t>
      </w:r>
      <w:r w:rsidRPr="005C7F86">
        <w:rPr>
          <w:i/>
          <w:szCs w:val="26"/>
        </w:rPr>
        <w:t>ebezpečné</w:t>
      </w:r>
      <w:r w:rsidR="00D873E7">
        <w:rPr>
          <w:i/>
          <w:szCs w:val="26"/>
        </w:rPr>
        <w:t xml:space="preserve"> při špatném zacházení</w:t>
      </w:r>
      <w:r w:rsidRPr="005C7F86">
        <w:rPr>
          <w:i/>
          <w:szCs w:val="26"/>
        </w:rPr>
        <w:t>, ale mají</w:t>
      </w:r>
      <w:r w:rsidR="00D873E7">
        <w:rPr>
          <w:i/>
          <w:szCs w:val="26"/>
        </w:rPr>
        <w:t>cí</w:t>
      </w:r>
      <w:r w:rsidRPr="005C7F86">
        <w:rPr>
          <w:i/>
          <w:szCs w:val="26"/>
        </w:rPr>
        <w:t xml:space="preserve"> potenciál </w:t>
      </w:r>
      <w:r w:rsidR="00D873E7">
        <w:rPr>
          <w:i/>
          <w:szCs w:val="26"/>
        </w:rPr>
        <w:t>dělat dobou službu</w:t>
      </w:r>
      <w:r w:rsidR="00F74B1E">
        <w:rPr>
          <w:i/>
          <w:szCs w:val="26"/>
        </w:rPr>
        <w:t>.“</w:t>
      </w:r>
    </w:p>
    <w:p w:rsidR="005C7F86" w:rsidRDefault="00233E2C" w:rsidP="00233E2C">
      <w:pPr>
        <w:suppressAutoHyphens w:val="0"/>
        <w:spacing w:after="200" w:line="276" w:lineRule="auto"/>
        <w:jc w:val="both"/>
      </w:pPr>
      <w:r>
        <w:t xml:space="preserve">Že není možné brát obchodování s deriváty na lehkou váhu, se projevilo </w:t>
      </w:r>
      <w:r w:rsidR="005C7F86">
        <w:t xml:space="preserve">i </w:t>
      </w:r>
      <w:r>
        <w:t xml:space="preserve">díky celosvětové finanční krizi v roce 2008. </w:t>
      </w:r>
      <w:r w:rsidR="005C7F86">
        <w:t>Mimo jiné také právě derivátům a neschopnosti investorů správ</w:t>
      </w:r>
      <w:r w:rsidR="00AC674B">
        <w:t>ně ocenit rizika s nimi spojená</w:t>
      </w:r>
      <w:r w:rsidR="005C7F86">
        <w:t xml:space="preserve"> je třeba přičíst podíl na rozšíření krize a jejím celosvětovém dopadu.</w:t>
      </w:r>
    </w:p>
    <w:p w:rsidR="00260B94" w:rsidRDefault="00C64E2A" w:rsidP="00233E2C">
      <w:pPr>
        <w:suppressAutoHyphens w:val="0"/>
        <w:spacing w:after="200" w:line="276" w:lineRule="auto"/>
        <w:jc w:val="both"/>
        <w:rPr>
          <w:kern w:val="28"/>
          <w:szCs w:val="20"/>
          <w:lang w:eastAsia="cs-CZ"/>
        </w:rPr>
      </w:pPr>
      <w:r>
        <w:rPr>
          <w:kern w:val="28"/>
          <w:szCs w:val="20"/>
          <w:lang w:eastAsia="cs-CZ"/>
        </w:rPr>
        <w:t xml:space="preserve">V této práci je popsáno zajištění </w:t>
      </w:r>
      <w:r w:rsidR="00F74B1E">
        <w:rPr>
          <w:kern w:val="28"/>
          <w:szCs w:val="20"/>
          <w:lang w:eastAsia="cs-CZ"/>
        </w:rPr>
        <w:t>měnových a úrokových</w:t>
      </w:r>
      <w:r>
        <w:rPr>
          <w:kern w:val="28"/>
          <w:szCs w:val="20"/>
          <w:lang w:eastAsia="cs-CZ"/>
        </w:rPr>
        <w:t xml:space="preserve"> rizik pomocí finančních derivátů. V dnešní době je </w:t>
      </w:r>
      <w:r w:rsidR="00984F6E">
        <w:rPr>
          <w:kern w:val="28"/>
          <w:szCs w:val="20"/>
          <w:lang w:eastAsia="cs-CZ"/>
        </w:rPr>
        <w:t xml:space="preserve">měnové riziko díky </w:t>
      </w:r>
      <w:r>
        <w:rPr>
          <w:kern w:val="28"/>
          <w:szCs w:val="20"/>
          <w:lang w:eastAsia="cs-CZ"/>
        </w:rPr>
        <w:t xml:space="preserve">globalizaci a propojování trhů každodenní realitou </w:t>
      </w:r>
      <w:r w:rsidR="002910C5">
        <w:rPr>
          <w:kern w:val="28"/>
          <w:szCs w:val="20"/>
          <w:lang w:eastAsia="cs-CZ"/>
        </w:rPr>
        <w:t xml:space="preserve">prakticky </w:t>
      </w:r>
      <w:r w:rsidR="00260B94">
        <w:rPr>
          <w:kern w:val="28"/>
          <w:szCs w:val="20"/>
          <w:lang w:eastAsia="cs-CZ"/>
        </w:rPr>
        <w:t>jakékoli</w:t>
      </w:r>
      <w:r>
        <w:rPr>
          <w:kern w:val="28"/>
          <w:szCs w:val="20"/>
          <w:lang w:eastAsia="cs-CZ"/>
        </w:rPr>
        <w:t xml:space="preserve"> větší </w:t>
      </w:r>
      <w:r w:rsidR="00AC674B">
        <w:rPr>
          <w:kern w:val="28"/>
          <w:szCs w:val="20"/>
          <w:lang w:eastAsia="cs-CZ"/>
        </w:rPr>
        <w:t xml:space="preserve">obchodní </w:t>
      </w:r>
      <w:r>
        <w:rPr>
          <w:kern w:val="28"/>
          <w:szCs w:val="20"/>
          <w:lang w:eastAsia="cs-CZ"/>
        </w:rPr>
        <w:t>společnosti.</w:t>
      </w:r>
      <w:r w:rsidR="00260B94">
        <w:rPr>
          <w:kern w:val="28"/>
          <w:szCs w:val="20"/>
          <w:lang w:eastAsia="cs-CZ"/>
        </w:rPr>
        <w:t xml:space="preserve"> Pokud společnost </w:t>
      </w:r>
      <w:r w:rsidR="00F74B1E">
        <w:rPr>
          <w:kern w:val="28"/>
          <w:szCs w:val="20"/>
          <w:lang w:eastAsia="cs-CZ"/>
        </w:rPr>
        <w:t>obchoduje</w:t>
      </w:r>
      <w:r w:rsidR="00260B94">
        <w:rPr>
          <w:kern w:val="28"/>
          <w:szCs w:val="20"/>
          <w:lang w:eastAsia="cs-CZ"/>
        </w:rPr>
        <w:t xml:space="preserve"> se zahraničním partnerem,</w:t>
      </w:r>
      <w:r>
        <w:rPr>
          <w:kern w:val="28"/>
          <w:szCs w:val="20"/>
          <w:lang w:eastAsia="cs-CZ"/>
        </w:rPr>
        <w:t xml:space="preserve"> </w:t>
      </w:r>
      <w:r w:rsidR="00260B94">
        <w:rPr>
          <w:kern w:val="28"/>
          <w:szCs w:val="20"/>
          <w:lang w:eastAsia="cs-CZ"/>
        </w:rPr>
        <w:t>měnové riziko ovlivňuje hodnotu všech budoucích peněžních toků plynoucích z této spolupráce. Hodno</w:t>
      </w:r>
      <w:r w:rsidR="005C7F86">
        <w:rPr>
          <w:kern w:val="28"/>
          <w:szCs w:val="20"/>
          <w:lang w:eastAsia="cs-CZ"/>
        </w:rPr>
        <w:t>tu budoucích peněžních toků ovlivňuje také úrok</w:t>
      </w:r>
      <w:r w:rsidR="00F74B1E">
        <w:rPr>
          <w:kern w:val="28"/>
          <w:szCs w:val="20"/>
          <w:lang w:eastAsia="cs-CZ"/>
        </w:rPr>
        <w:t>ové riziko, jelikož s</w:t>
      </w:r>
      <w:r w:rsidR="005C7F86">
        <w:rPr>
          <w:kern w:val="28"/>
          <w:szCs w:val="20"/>
          <w:lang w:eastAsia="cs-CZ"/>
        </w:rPr>
        <w:t>e</w:t>
      </w:r>
      <w:r w:rsidR="006A44EE">
        <w:rPr>
          <w:kern w:val="28"/>
          <w:szCs w:val="20"/>
          <w:lang w:eastAsia="cs-CZ"/>
        </w:rPr>
        <w:t> </w:t>
      </w:r>
      <w:r w:rsidR="005C7F86">
        <w:rPr>
          <w:kern w:val="28"/>
          <w:szCs w:val="20"/>
          <w:lang w:eastAsia="cs-CZ"/>
        </w:rPr>
        <w:t>s</w:t>
      </w:r>
      <w:r w:rsidR="00260B94">
        <w:rPr>
          <w:kern w:val="28"/>
          <w:szCs w:val="20"/>
          <w:lang w:eastAsia="cs-CZ"/>
        </w:rPr>
        <w:t>oučasná hodnota bud</w:t>
      </w:r>
      <w:r w:rsidR="005C7F86">
        <w:rPr>
          <w:kern w:val="28"/>
          <w:szCs w:val="20"/>
          <w:lang w:eastAsia="cs-CZ"/>
        </w:rPr>
        <w:t>oucích plateb</w:t>
      </w:r>
      <w:r w:rsidR="00F74B1E">
        <w:rPr>
          <w:kern w:val="28"/>
          <w:szCs w:val="20"/>
          <w:lang w:eastAsia="cs-CZ"/>
        </w:rPr>
        <w:t xml:space="preserve"> stanovuje</w:t>
      </w:r>
      <w:r w:rsidR="00260B94">
        <w:rPr>
          <w:kern w:val="28"/>
          <w:szCs w:val="20"/>
          <w:lang w:eastAsia="cs-CZ"/>
        </w:rPr>
        <w:t xml:space="preserve"> </w:t>
      </w:r>
      <w:r w:rsidR="004F51D2">
        <w:rPr>
          <w:kern w:val="28"/>
          <w:szCs w:val="20"/>
          <w:lang w:eastAsia="cs-CZ"/>
        </w:rPr>
        <w:t xml:space="preserve">právě </w:t>
      </w:r>
      <w:r w:rsidR="00AC674B">
        <w:rPr>
          <w:kern w:val="28"/>
          <w:szCs w:val="20"/>
          <w:lang w:eastAsia="cs-CZ"/>
        </w:rPr>
        <w:t xml:space="preserve">pomocí úrokových </w:t>
      </w:r>
      <w:r w:rsidR="007B4388">
        <w:rPr>
          <w:kern w:val="28"/>
          <w:szCs w:val="20"/>
          <w:lang w:eastAsia="cs-CZ"/>
        </w:rPr>
        <w:t>sazeb</w:t>
      </w:r>
      <w:r w:rsidR="00AC674B">
        <w:rPr>
          <w:kern w:val="28"/>
          <w:szCs w:val="20"/>
          <w:lang w:eastAsia="cs-CZ"/>
        </w:rPr>
        <w:t>.</w:t>
      </w:r>
    </w:p>
    <w:p w:rsidR="00233E2C" w:rsidRDefault="00C64E2A" w:rsidP="00233E2C">
      <w:pPr>
        <w:suppressAutoHyphens w:val="0"/>
        <w:spacing w:after="200" w:line="276" w:lineRule="auto"/>
        <w:jc w:val="both"/>
        <w:rPr>
          <w:kern w:val="28"/>
          <w:szCs w:val="20"/>
          <w:lang w:eastAsia="cs-CZ"/>
        </w:rPr>
      </w:pPr>
      <w:r>
        <w:rPr>
          <w:kern w:val="28"/>
          <w:szCs w:val="20"/>
          <w:lang w:eastAsia="cs-CZ"/>
        </w:rPr>
        <w:t>Ko</w:t>
      </w:r>
      <w:r w:rsidR="00260B94">
        <w:rPr>
          <w:kern w:val="28"/>
          <w:szCs w:val="20"/>
          <w:lang w:eastAsia="cs-CZ"/>
        </w:rPr>
        <w:t>lísání měnových kurzů</w:t>
      </w:r>
      <w:r w:rsidR="002910C5">
        <w:rPr>
          <w:kern w:val="28"/>
          <w:szCs w:val="20"/>
          <w:lang w:eastAsia="cs-CZ"/>
        </w:rPr>
        <w:t xml:space="preserve">, stejně jako úrokových sazeb, </w:t>
      </w:r>
      <w:r w:rsidR="00260B94">
        <w:rPr>
          <w:kern w:val="28"/>
          <w:szCs w:val="20"/>
          <w:lang w:eastAsia="cs-CZ"/>
        </w:rPr>
        <w:t>může vést</w:t>
      </w:r>
      <w:r w:rsidR="005C7F86">
        <w:rPr>
          <w:kern w:val="28"/>
          <w:szCs w:val="20"/>
          <w:lang w:eastAsia="cs-CZ"/>
        </w:rPr>
        <w:t xml:space="preserve"> u jednotlivých subjektů</w:t>
      </w:r>
      <w:r w:rsidR="00260B94">
        <w:rPr>
          <w:kern w:val="28"/>
          <w:szCs w:val="20"/>
          <w:lang w:eastAsia="cs-CZ"/>
        </w:rPr>
        <w:t xml:space="preserve"> k vysokým ztrátám</w:t>
      </w:r>
      <w:r w:rsidR="002910C5">
        <w:rPr>
          <w:kern w:val="28"/>
          <w:szCs w:val="20"/>
          <w:lang w:eastAsia="cs-CZ"/>
        </w:rPr>
        <w:t>. Využitím správného</w:t>
      </w:r>
      <w:r>
        <w:rPr>
          <w:kern w:val="28"/>
          <w:szCs w:val="20"/>
          <w:lang w:eastAsia="cs-CZ"/>
        </w:rPr>
        <w:t xml:space="preserve"> druhu derivátového kontraktu však podnikatel či</w:t>
      </w:r>
      <w:r w:rsidR="006A44EE">
        <w:rPr>
          <w:kern w:val="28"/>
          <w:szCs w:val="20"/>
          <w:lang w:eastAsia="cs-CZ"/>
        </w:rPr>
        <w:t> </w:t>
      </w:r>
      <w:r>
        <w:rPr>
          <w:kern w:val="28"/>
          <w:szCs w:val="20"/>
          <w:lang w:eastAsia="cs-CZ"/>
        </w:rPr>
        <w:t xml:space="preserve">investor může svá rizika výrazně snížit a </w:t>
      </w:r>
      <w:r w:rsidR="007F2D2C">
        <w:rPr>
          <w:kern w:val="28"/>
          <w:szCs w:val="20"/>
          <w:lang w:eastAsia="cs-CZ"/>
        </w:rPr>
        <w:t>těmto ztrátám zamezit</w:t>
      </w:r>
      <w:r w:rsidR="002910C5">
        <w:rPr>
          <w:kern w:val="28"/>
          <w:szCs w:val="20"/>
          <w:lang w:eastAsia="cs-CZ"/>
        </w:rPr>
        <w:t>.</w:t>
      </w:r>
    </w:p>
    <w:p w:rsidR="00A242C5" w:rsidRPr="00F74B1E" w:rsidRDefault="00A242C5" w:rsidP="00233E2C">
      <w:pPr>
        <w:suppressAutoHyphens w:val="0"/>
        <w:spacing w:after="200" w:line="276" w:lineRule="auto"/>
        <w:jc w:val="both"/>
        <w:rPr>
          <w:kern w:val="28"/>
          <w:szCs w:val="20"/>
          <w:lang w:eastAsia="cs-CZ"/>
        </w:rPr>
      </w:pPr>
      <w:r w:rsidRPr="00F74B1E">
        <w:rPr>
          <w:kern w:val="28"/>
          <w:szCs w:val="20"/>
          <w:lang w:eastAsia="cs-CZ"/>
        </w:rPr>
        <w:lastRenderedPageBreak/>
        <w:t>Cílem této práce je analýza finančních derivátů při řízení úrokového a měnového rizika a</w:t>
      </w:r>
      <w:r w:rsidR="00F74B1E">
        <w:rPr>
          <w:kern w:val="28"/>
          <w:szCs w:val="20"/>
          <w:lang w:eastAsia="cs-CZ"/>
        </w:rPr>
        <w:t> </w:t>
      </w:r>
      <w:r w:rsidRPr="00F74B1E">
        <w:rPr>
          <w:kern w:val="28"/>
          <w:szCs w:val="20"/>
          <w:lang w:eastAsia="cs-CZ"/>
        </w:rPr>
        <w:t xml:space="preserve">vyhodnocení aplikace jednotlivých derivátových instrumentů v praxi. </w:t>
      </w:r>
      <w:r w:rsidR="006C5257">
        <w:rPr>
          <w:kern w:val="28"/>
          <w:szCs w:val="20"/>
          <w:lang w:eastAsia="cs-CZ"/>
        </w:rPr>
        <w:t xml:space="preserve">Dílčím cílem </w:t>
      </w:r>
      <w:r w:rsidR="006C5257" w:rsidRPr="00F74B1E">
        <w:rPr>
          <w:kern w:val="28"/>
          <w:szCs w:val="20"/>
          <w:lang w:eastAsia="cs-CZ"/>
        </w:rPr>
        <w:t>je</w:t>
      </w:r>
      <w:r w:rsidR="006C5257">
        <w:rPr>
          <w:kern w:val="28"/>
          <w:szCs w:val="20"/>
          <w:lang w:eastAsia="cs-CZ"/>
        </w:rPr>
        <w:t> </w:t>
      </w:r>
      <w:r w:rsidR="006C5257" w:rsidRPr="00F74B1E">
        <w:rPr>
          <w:kern w:val="28"/>
          <w:szCs w:val="20"/>
          <w:lang w:eastAsia="cs-CZ"/>
        </w:rPr>
        <w:t xml:space="preserve">nalezení a popsání nejefektivnějšího způsobu zajištění pomocí úrokových a měnových derivátů vzhledem ke konkrétnímu modelovému příkladu. </w:t>
      </w:r>
    </w:p>
    <w:p w:rsidR="009B1A2B" w:rsidRPr="00F74B1E" w:rsidRDefault="00A242C5" w:rsidP="00233E2C">
      <w:pPr>
        <w:suppressAutoHyphens w:val="0"/>
        <w:spacing w:after="200" w:line="276" w:lineRule="auto"/>
        <w:jc w:val="both"/>
        <w:rPr>
          <w:kern w:val="28"/>
          <w:szCs w:val="20"/>
          <w:lang w:eastAsia="cs-CZ"/>
        </w:rPr>
      </w:pPr>
      <w:r w:rsidRPr="00F74B1E">
        <w:rPr>
          <w:kern w:val="28"/>
          <w:szCs w:val="20"/>
          <w:lang w:eastAsia="cs-CZ"/>
        </w:rPr>
        <w:t>P</w:t>
      </w:r>
      <w:r w:rsidR="007F2D2C" w:rsidRPr="00F74B1E">
        <w:rPr>
          <w:kern w:val="28"/>
          <w:szCs w:val="20"/>
          <w:lang w:eastAsia="cs-CZ"/>
        </w:rPr>
        <w:t>ráce</w:t>
      </w:r>
      <w:r w:rsidR="004F51D2" w:rsidRPr="00F74B1E">
        <w:rPr>
          <w:kern w:val="28"/>
          <w:szCs w:val="20"/>
          <w:lang w:eastAsia="cs-CZ"/>
        </w:rPr>
        <w:t xml:space="preserve"> nej</w:t>
      </w:r>
      <w:r w:rsidRPr="00F74B1E">
        <w:rPr>
          <w:kern w:val="28"/>
          <w:szCs w:val="20"/>
          <w:lang w:eastAsia="cs-CZ"/>
        </w:rPr>
        <w:t>pr</w:t>
      </w:r>
      <w:r w:rsidR="004F51D2" w:rsidRPr="00F74B1E">
        <w:rPr>
          <w:kern w:val="28"/>
          <w:szCs w:val="20"/>
          <w:lang w:eastAsia="cs-CZ"/>
        </w:rPr>
        <w:t>ve m</w:t>
      </w:r>
      <w:r w:rsidR="007F2D2C" w:rsidRPr="00F74B1E">
        <w:rPr>
          <w:kern w:val="28"/>
          <w:szCs w:val="20"/>
          <w:lang w:eastAsia="cs-CZ"/>
        </w:rPr>
        <w:t xml:space="preserve">etodou popisnou charakterizuje </w:t>
      </w:r>
      <w:r w:rsidR="004F51D2" w:rsidRPr="00F74B1E">
        <w:rPr>
          <w:kern w:val="28"/>
          <w:szCs w:val="20"/>
          <w:lang w:eastAsia="cs-CZ"/>
        </w:rPr>
        <w:t>jednotlivé druhy finančních derivátů se</w:t>
      </w:r>
      <w:r w:rsidR="00D84C56">
        <w:rPr>
          <w:kern w:val="28"/>
          <w:szCs w:val="20"/>
          <w:lang w:eastAsia="cs-CZ"/>
        </w:rPr>
        <w:t> </w:t>
      </w:r>
      <w:r w:rsidR="004F51D2" w:rsidRPr="00F74B1E">
        <w:rPr>
          <w:kern w:val="28"/>
          <w:szCs w:val="20"/>
          <w:lang w:eastAsia="cs-CZ"/>
        </w:rPr>
        <w:t>zaměřením na deriváty vázané na úrokové a měnové riziko</w:t>
      </w:r>
      <w:r w:rsidR="009A0667" w:rsidRPr="00F74B1E">
        <w:rPr>
          <w:kern w:val="28"/>
          <w:szCs w:val="20"/>
          <w:lang w:eastAsia="cs-CZ"/>
        </w:rPr>
        <w:t>.</w:t>
      </w:r>
      <w:r w:rsidR="00D84C56">
        <w:rPr>
          <w:kern w:val="28"/>
          <w:szCs w:val="20"/>
          <w:lang w:eastAsia="cs-CZ"/>
        </w:rPr>
        <w:t xml:space="preserve"> </w:t>
      </w:r>
      <w:r w:rsidR="00B076F8">
        <w:rPr>
          <w:kern w:val="28"/>
          <w:szCs w:val="20"/>
          <w:lang w:eastAsia="cs-CZ"/>
        </w:rPr>
        <w:t>V jednotlivých kapitolách j</w:t>
      </w:r>
      <w:r w:rsidR="00D84C56">
        <w:rPr>
          <w:kern w:val="28"/>
          <w:szCs w:val="20"/>
          <w:lang w:eastAsia="cs-CZ"/>
        </w:rPr>
        <w:t>sou postupně popsány měnové a úrokové forwardy, futures, swapy a opce.</w:t>
      </w:r>
      <w:r w:rsidR="009A0667" w:rsidRPr="00F74B1E">
        <w:rPr>
          <w:kern w:val="28"/>
          <w:szCs w:val="20"/>
          <w:lang w:eastAsia="cs-CZ"/>
        </w:rPr>
        <w:t xml:space="preserve"> </w:t>
      </w:r>
      <w:r w:rsidR="00D84C56">
        <w:rPr>
          <w:kern w:val="28"/>
          <w:szCs w:val="20"/>
          <w:lang w:eastAsia="cs-CZ"/>
        </w:rPr>
        <w:t>Dochází k formulování teoretických východisek</w:t>
      </w:r>
      <w:r w:rsidR="009B1A2B" w:rsidRPr="00F74B1E">
        <w:rPr>
          <w:kern w:val="28"/>
          <w:szCs w:val="20"/>
          <w:lang w:eastAsia="cs-CZ"/>
        </w:rPr>
        <w:t xml:space="preserve"> pro následnou analytickou část práce.</w:t>
      </w:r>
      <w:r w:rsidRPr="00F74B1E">
        <w:rPr>
          <w:kern w:val="28"/>
          <w:szCs w:val="20"/>
          <w:lang w:eastAsia="cs-CZ"/>
        </w:rPr>
        <w:t xml:space="preserve"> </w:t>
      </w:r>
    </w:p>
    <w:p w:rsidR="002910C5" w:rsidRPr="00F74B1E" w:rsidRDefault="00984F6E" w:rsidP="00984F6E">
      <w:pPr>
        <w:suppressAutoHyphens w:val="0"/>
        <w:spacing w:after="200" w:line="276" w:lineRule="auto"/>
        <w:jc w:val="both"/>
        <w:rPr>
          <w:kern w:val="28"/>
          <w:szCs w:val="20"/>
          <w:lang w:eastAsia="cs-CZ"/>
        </w:rPr>
      </w:pPr>
      <w:r w:rsidRPr="00F74B1E">
        <w:rPr>
          <w:kern w:val="28"/>
          <w:szCs w:val="20"/>
          <w:lang w:eastAsia="cs-CZ"/>
        </w:rPr>
        <w:t>Zpracování cílů</w:t>
      </w:r>
      <w:r w:rsidR="00D84C56">
        <w:rPr>
          <w:kern w:val="28"/>
          <w:szCs w:val="20"/>
          <w:lang w:eastAsia="cs-CZ"/>
        </w:rPr>
        <w:t xml:space="preserve"> práce</w:t>
      </w:r>
      <w:r w:rsidRPr="00F74B1E">
        <w:rPr>
          <w:kern w:val="28"/>
          <w:szCs w:val="20"/>
          <w:lang w:eastAsia="cs-CZ"/>
        </w:rPr>
        <w:t xml:space="preserve"> je obsaženo</w:t>
      </w:r>
      <w:r w:rsidR="006C5257">
        <w:rPr>
          <w:kern w:val="28"/>
          <w:szCs w:val="20"/>
          <w:lang w:eastAsia="cs-CZ"/>
        </w:rPr>
        <w:t xml:space="preserve"> především</w:t>
      </w:r>
      <w:r w:rsidRPr="00F74B1E">
        <w:rPr>
          <w:kern w:val="28"/>
          <w:szCs w:val="20"/>
          <w:lang w:eastAsia="cs-CZ"/>
        </w:rPr>
        <w:t xml:space="preserve"> v</w:t>
      </w:r>
      <w:r w:rsidR="00B92EDA">
        <w:rPr>
          <w:kern w:val="28"/>
          <w:szCs w:val="20"/>
          <w:lang w:eastAsia="cs-CZ"/>
        </w:rPr>
        <w:t xml:space="preserve"> její </w:t>
      </w:r>
      <w:r w:rsidRPr="00F74B1E">
        <w:rPr>
          <w:kern w:val="28"/>
          <w:szCs w:val="20"/>
          <w:lang w:eastAsia="cs-CZ"/>
        </w:rPr>
        <w:t>závěrečné</w:t>
      </w:r>
      <w:r w:rsidR="006C5257">
        <w:rPr>
          <w:kern w:val="28"/>
          <w:szCs w:val="20"/>
          <w:lang w:eastAsia="cs-CZ"/>
        </w:rPr>
        <w:t xml:space="preserve"> praktické</w:t>
      </w:r>
      <w:r w:rsidRPr="00F74B1E">
        <w:rPr>
          <w:kern w:val="28"/>
          <w:szCs w:val="20"/>
          <w:lang w:eastAsia="cs-CZ"/>
        </w:rPr>
        <w:t xml:space="preserve"> části. Je v ní demonstrováno a</w:t>
      </w:r>
      <w:r w:rsidR="00D84C56">
        <w:rPr>
          <w:kern w:val="28"/>
          <w:szCs w:val="20"/>
          <w:lang w:eastAsia="cs-CZ"/>
        </w:rPr>
        <w:t> </w:t>
      </w:r>
      <w:r w:rsidRPr="00F74B1E">
        <w:rPr>
          <w:kern w:val="28"/>
          <w:szCs w:val="20"/>
          <w:lang w:eastAsia="cs-CZ"/>
        </w:rPr>
        <w:t>analyzováno praktické využití finančních derivátů při zajišťování uvedených druhů rizik</w:t>
      </w:r>
      <w:r w:rsidR="006C5257">
        <w:rPr>
          <w:kern w:val="28"/>
          <w:szCs w:val="20"/>
          <w:lang w:eastAsia="cs-CZ"/>
        </w:rPr>
        <w:t xml:space="preserve"> vzhledem ke konkrétnímu modelovému příkladu</w:t>
      </w:r>
      <w:r w:rsidRPr="00F74B1E">
        <w:rPr>
          <w:kern w:val="28"/>
          <w:szCs w:val="20"/>
          <w:lang w:eastAsia="cs-CZ"/>
        </w:rPr>
        <w:t>. Na</w:t>
      </w:r>
      <w:r w:rsidR="00D84C56">
        <w:rPr>
          <w:kern w:val="28"/>
          <w:szCs w:val="20"/>
          <w:lang w:eastAsia="cs-CZ"/>
        </w:rPr>
        <w:t> </w:t>
      </w:r>
      <w:r w:rsidRPr="00F74B1E">
        <w:rPr>
          <w:kern w:val="28"/>
          <w:szCs w:val="20"/>
          <w:lang w:eastAsia="cs-CZ"/>
        </w:rPr>
        <w:t xml:space="preserve">základě metody komparace jsou následně jednotlivé výsledky zajištění porovnány a jsou doporučeny nejvhodnější způsoby </w:t>
      </w:r>
      <w:r w:rsidR="006C5257">
        <w:rPr>
          <w:kern w:val="28"/>
          <w:szCs w:val="20"/>
          <w:lang w:eastAsia="cs-CZ"/>
        </w:rPr>
        <w:t>řízení</w:t>
      </w:r>
      <w:r w:rsidRPr="00F74B1E">
        <w:rPr>
          <w:kern w:val="28"/>
          <w:szCs w:val="20"/>
          <w:lang w:eastAsia="cs-CZ"/>
        </w:rPr>
        <w:t xml:space="preserve"> úrokového a měnového rizika prostřednictvím finančních derivátů.</w:t>
      </w:r>
    </w:p>
    <w:p w:rsidR="00E70BEF" w:rsidRPr="006B13DB" w:rsidRDefault="00E70BEF" w:rsidP="006B13DB">
      <w:pPr>
        <w:rPr>
          <w:b/>
          <w:kern w:val="28"/>
          <w:sz w:val="40"/>
          <w:szCs w:val="20"/>
          <w:lang w:eastAsia="cs-CZ"/>
        </w:rPr>
      </w:pPr>
      <w:r>
        <w:br w:type="page"/>
      </w:r>
    </w:p>
    <w:p w:rsidR="00394B2B" w:rsidRPr="00394B2B" w:rsidRDefault="007A3165" w:rsidP="007616BB">
      <w:pPr>
        <w:pStyle w:val="Nadpis1"/>
      </w:pPr>
      <w:bookmarkStart w:id="3" w:name="_Toc354393042"/>
      <w:r w:rsidRPr="005107B6">
        <w:lastRenderedPageBreak/>
        <w:t>DERIVÁT</w:t>
      </w:r>
      <w:bookmarkEnd w:id="0"/>
      <w:bookmarkEnd w:id="1"/>
      <w:r w:rsidR="003F6893">
        <w:t>Y</w:t>
      </w:r>
      <w:bookmarkEnd w:id="3"/>
    </w:p>
    <w:p w:rsidR="00394B2B" w:rsidRDefault="00394B2B" w:rsidP="00394B2B">
      <w:pPr>
        <w:spacing w:before="240" w:after="240" w:line="276" w:lineRule="auto"/>
        <w:jc w:val="both"/>
      </w:pPr>
    </w:p>
    <w:p w:rsidR="007A3165" w:rsidRDefault="00067F72" w:rsidP="00394B2B">
      <w:pPr>
        <w:spacing w:after="240" w:line="276" w:lineRule="auto"/>
        <w:jc w:val="both"/>
      </w:pPr>
      <w:r>
        <w:t>Deriváty</w:t>
      </w:r>
      <w:r w:rsidR="007A3165">
        <w:t xml:space="preserve"> jsou takové instrumenty, jejichž hodnota je odvozena od hodnoty podkladového aktiva. Z této charakteristiky také vznikl název derivátů, neboť slovo „odvozený“ můžeme zaměnit mimo jiné za slovo „derivovaný“. Podkladovým aktivem derivátů jsou nejčastěji cenné papíry, měnové kurzy, úrokové míry nebo komodity. Pokud však uvažujeme termínový kontrakt, který je sjednáván na smluvním principu, pak může být podkladovým aktivem prakticky cokoli, záleží pouze na domluvě dvou protistran.</w:t>
      </w:r>
    </w:p>
    <w:p w:rsidR="007A3165" w:rsidRDefault="007A3165" w:rsidP="00394B2B">
      <w:pPr>
        <w:spacing w:after="240" w:line="276" w:lineRule="auto"/>
        <w:jc w:val="both"/>
      </w:pPr>
      <w:r>
        <w:t>Základním principem těchto termínových instrumentů je časový nesoulad mezi dnem uzavření kontraktu a dnem jeho vypořádání. Strany obchodující termínové kontrakty při jejich uzavření domlouvají veškeré podmínky obchodu, a to jaké podkladové aktivum budou obchodovat, v jakém množství, za jakou cenu, a také kdy dojde k vypořádání tohoto obchodu. Derivátové instrumenty</w:t>
      </w:r>
      <w:r w:rsidR="0009149A">
        <w:t>,</w:t>
      </w:r>
      <w:r>
        <w:t xml:space="preserve"> obchodované na termínových trzích</w:t>
      </w:r>
      <w:r w:rsidR="0009149A">
        <w:t>,</w:t>
      </w:r>
      <w:r>
        <w:t xml:space="preserve"> se od instrumentů obchodovaných na promptních trzích, na kterých dochází téměř k okamžitému vyrovnání stran</w:t>
      </w:r>
      <w:r w:rsidR="00D873E7">
        <w:rPr>
          <w:rStyle w:val="Znakapoznpodarou"/>
        </w:rPr>
        <w:footnoteReference w:id="3"/>
      </w:r>
      <w:r>
        <w:t>,</w:t>
      </w:r>
      <w:r w:rsidRPr="008477ED">
        <w:t xml:space="preserve"> </w:t>
      </w:r>
      <w:r>
        <w:t>liší časovou prodlevou. Ta je oproti promptním t</w:t>
      </w:r>
      <w:r w:rsidR="00904C12">
        <w:t>rhům dána z ekonomických důvodů. S</w:t>
      </w:r>
      <w:r>
        <w:t xml:space="preserve">trany si </w:t>
      </w:r>
      <w:r w:rsidR="002053FF">
        <w:t>na termínovém trhu</w:t>
      </w:r>
      <w:r>
        <w:t xml:space="preserve"> cíleně fixují cenu sjednaného podkladového aktiva do</w:t>
      </w:r>
      <w:r w:rsidR="00EA6BC8">
        <w:t> </w:t>
      </w:r>
      <w:r>
        <w:t xml:space="preserve">budoucna, a tím zajišťují své budoucí příjmy či výdaje. Časová prodleva u termínových kontraktů není teoreticky nijak omezena, avšak </w:t>
      </w:r>
      <w:r w:rsidR="002053FF">
        <w:t>v praxi</w:t>
      </w:r>
      <w:r>
        <w:t xml:space="preserve"> se ve většině případů používají termínové kontrakty splatné </w:t>
      </w:r>
      <w:r w:rsidR="002053FF">
        <w:t xml:space="preserve">maximálně </w:t>
      </w:r>
      <w:r>
        <w:t>do jednoho roku. Obecně lze pak za termínové obchody považovat ty obchody, jejichž doba do splatnosti je delší než doba vypořádání u</w:t>
      </w:r>
      <w:r w:rsidR="00EA6BC8">
        <w:t> </w:t>
      </w:r>
      <w:r>
        <w:t>obchodů realizovaných na spotovém trhu.</w:t>
      </w:r>
      <w:r>
        <w:rPr>
          <w:rStyle w:val="Znakapoznpodarou"/>
          <w:rFonts w:eastAsiaTheme="majorEastAsia"/>
        </w:rPr>
        <w:footnoteReference w:id="4"/>
      </w:r>
    </w:p>
    <w:p w:rsidR="00394B2B" w:rsidRDefault="00394B2B" w:rsidP="00394B2B">
      <w:pPr>
        <w:spacing w:after="240" w:line="276" w:lineRule="auto"/>
        <w:jc w:val="both"/>
      </w:pPr>
    </w:p>
    <w:p w:rsidR="007A3165" w:rsidRPr="00C27CB0" w:rsidRDefault="007A3165" w:rsidP="00C27CB0">
      <w:pPr>
        <w:pStyle w:val="Nadpis2"/>
      </w:pPr>
      <w:bookmarkStart w:id="4" w:name="_Toc350414913"/>
      <w:bookmarkStart w:id="5" w:name="_Toc353550117"/>
      <w:bookmarkStart w:id="6" w:name="_Toc354393043"/>
      <w:r w:rsidRPr="00C27CB0">
        <w:t>Historie derivátů</w:t>
      </w:r>
      <w:bookmarkEnd w:id="4"/>
      <w:bookmarkEnd w:id="5"/>
      <w:bookmarkEnd w:id="6"/>
    </w:p>
    <w:p w:rsidR="00313B03" w:rsidRPr="00C27CB0" w:rsidRDefault="00313B03" w:rsidP="00394B2B">
      <w:pPr>
        <w:spacing w:after="240" w:line="276" w:lineRule="auto"/>
        <w:jc w:val="both"/>
      </w:pPr>
      <w:r w:rsidRPr="00C27CB0">
        <w:t>První zárodky termínových obchodů však byly zaznamenány již v antickém Řecku a Římě. Už v té době docházelo k domluvě pevných obchodů,</w:t>
      </w:r>
      <w:r w:rsidR="00C27CB0" w:rsidRPr="00C27CB0">
        <w:t xml:space="preserve"> které se uskutečnily v budoucnu</w:t>
      </w:r>
      <w:r w:rsidRPr="00C27CB0">
        <w:t>.</w:t>
      </w:r>
      <w:r w:rsidRPr="00C27CB0">
        <w:rPr>
          <w:rStyle w:val="Znakapoznpodarou"/>
        </w:rPr>
        <w:footnoteReference w:id="5"/>
      </w:r>
    </w:p>
    <w:p w:rsidR="00DE6FE0" w:rsidRDefault="00B076F8" w:rsidP="00394B2B">
      <w:pPr>
        <w:spacing w:after="240" w:line="276" w:lineRule="auto"/>
        <w:jc w:val="both"/>
      </w:pPr>
      <w:r>
        <w:t>Vznik</w:t>
      </w:r>
      <w:r w:rsidRPr="00C27CB0">
        <w:t xml:space="preserve"> moderních derivátů se datuje </w:t>
      </w:r>
      <w:r>
        <w:t>přibližně k</w:t>
      </w:r>
      <w:r w:rsidRPr="00C27CB0">
        <w:t xml:space="preserve"> polovině 19. století. </w:t>
      </w:r>
      <w:r w:rsidR="00DE6FE0">
        <w:t xml:space="preserve">Příčinou </w:t>
      </w:r>
      <w:r>
        <w:t>jejich vzniku</w:t>
      </w:r>
      <w:r w:rsidR="00DE6FE0">
        <w:t xml:space="preserve"> byla nestabilita </w:t>
      </w:r>
      <w:r>
        <w:t>cen zemědělských komodit</w:t>
      </w:r>
      <w:r w:rsidR="00DE6FE0">
        <w:t>. Farmáři a zemědělci potřebovali zajisti</w:t>
      </w:r>
      <w:r w:rsidR="0009149A">
        <w:t>t ceny pro</w:t>
      </w:r>
      <w:r w:rsidR="00AC6F95">
        <w:t> </w:t>
      </w:r>
      <w:r w:rsidR="0009149A">
        <w:t>svou budoucí úrodu, a p</w:t>
      </w:r>
      <w:r w:rsidR="00DE6FE0">
        <w:t xml:space="preserve">roto uzavírali obchody, díky kterým měli </w:t>
      </w:r>
      <w:r w:rsidR="00C57DE7">
        <w:t xml:space="preserve">např. </w:t>
      </w:r>
      <w:r>
        <w:t>sjednaný nákup sklizně v </w:t>
      </w:r>
      <w:r w:rsidR="00DE6FE0">
        <w:t>budoucnu i</w:t>
      </w:r>
      <w:r>
        <w:t> </w:t>
      </w:r>
      <w:r w:rsidR="00DE6FE0">
        <w:t xml:space="preserve">přesto, že teprve seli. </w:t>
      </w:r>
      <w:r w:rsidR="004F6804">
        <w:t>Obdobně jako zemědělci se jistili</w:t>
      </w:r>
      <w:r w:rsidR="00DE6FE0">
        <w:t xml:space="preserve"> zpracovatelé komodit, např.</w:t>
      </w:r>
      <w:r w:rsidR="00C57DE7">
        <w:t> </w:t>
      </w:r>
      <w:r w:rsidR="00DE6FE0">
        <w:t>mlynáři. Ti si naopak zajišťovali ceny pro své budoucí nákupy</w:t>
      </w:r>
      <w:r>
        <w:t>.</w:t>
      </w:r>
    </w:p>
    <w:p w:rsidR="00EA4751" w:rsidRDefault="004F6804" w:rsidP="00394B2B">
      <w:pPr>
        <w:spacing w:after="240" w:line="276" w:lineRule="auto"/>
        <w:jc w:val="both"/>
      </w:pPr>
      <w:r>
        <w:t>Ze zemědělských komodit nabýval největšího</w:t>
      </w:r>
      <w:r w:rsidR="001C14C0">
        <w:t xml:space="preserve"> význam</w:t>
      </w:r>
      <w:r>
        <w:t>u zejména</w:t>
      </w:r>
      <w:r w:rsidR="001C14C0">
        <w:t xml:space="preserve"> obchod s</w:t>
      </w:r>
      <w:r>
        <w:t> </w:t>
      </w:r>
      <w:r w:rsidR="001C14C0">
        <w:t>obilím</w:t>
      </w:r>
      <w:r>
        <w:t>, jehož</w:t>
      </w:r>
      <w:r w:rsidR="001C14C0">
        <w:t xml:space="preserve"> </w:t>
      </w:r>
      <w:r>
        <w:t>c</w:t>
      </w:r>
      <w:r w:rsidR="001C14C0">
        <w:t xml:space="preserve">entrem </w:t>
      </w:r>
      <w:r w:rsidR="00DE6FE0">
        <w:t>bylo město Chicago</w:t>
      </w:r>
      <w:r w:rsidR="001C14C0">
        <w:t>. Díky sezónním výkyvům cen</w:t>
      </w:r>
      <w:r w:rsidR="00C57DE7">
        <w:t xml:space="preserve"> této plodin</w:t>
      </w:r>
      <w:r>
        <w:t>y</w:t>
      </w:r>
      <w:r w:rsidR="00C57DE7">
        <w:t xml:space="preserve"> brzy začalo docházet</w:t>
      </w:r>
      <w:r w:rsidR="001C14C0">
        <w:t xml:space="preserve"> k obchodům, díky kterým se budoucí ceny obilí zafixovaly.</w:t>
      </w:r>
    </w:p>
    <w:p w:rsidR="00EA4751" w:rsidRDefault="001C14C0" w:rsidP="00394B2B">
      <w:pPr>
        <w:spacing w:after="240" w:line="276" w:lineRule="auto"/>
        <w:jc w:val="both"/>
      </w:pPr>
      <w:r>
        <w:lastRenderedPageBreak/>
        <w:t xml:space="preserve">V roce 1848 vznikla instituce </w:t>
      </w:r>
      <w:r w:rsidR="00DE6FE0">
        <w:t>Chicago Board of Trade</w:t>
      </w:r>
      <w:r w:rsidR="00D26401">
        <w:t xml:space="preserve"> (dále jen CBOT)</w:t>
      </w:r>
      <w:r w:rsidR="00DE6FE0">
        <w:t xml:space="preserve">, jejímž cílem </w:t>
      </w:r>
      <w:r>
        <w:t>bylo kromě obchodování s obilím taktéž vytvoření pravidel pro obchodování a</w:t>
      </w:r>
      <w:r w:rsidR="00EA6BC8">
        <w:t> </w:t>
      </w:r>
      <w:r w:rsidR="00C57DE7">
        <w:t>dohled nad tímto trhem</w:t>
      </w:r>
      <w:r w:rsidR="00577CFD">
        <w:t>.</w:t>
      </w:r>
    </w:p>
    <w:p w:rsidR="00A966BE" w:rsidRDefault="00A966BE" w:rsidP="00394B2B">
      <w:pPr>
        <w:spacing w:after="240" w:line="276" w:lineRule="auto"/>
        <w:jc w:val="both"/>
      </w:pPr>
      <w:r>
        <w:t>Na burze</w:t>
      </w:r>
      <w:r w:rsidR="00C57DE7">
        <w:t xml:space="preserve"> CBOT</w:t>
      </w:r>
      <w:r>
        <w:t xml:space="preserve"> se nejdříve obchodovalo s kontrakty </w:t>
      </w:r>
      <w:r w:rsidRPr="00A966BE">
        <w:rPr>
          <w:i/>
        </w:rPr>
        <w:t>„to arrive“</w:t>
      </w:r>
      <w:r>
        <w:t>, tj. s kontrakty, které</w:t>
      </w:r>
      <w:r w:rsidR="00577CFD">
        <w:t> </w:t>
      </w:r>
      <w:r>
        <w:t>se</w:t>
      </w:r>
      <w:r w:rsidR="00C57DE7">
        <w:t> </w:t>
      </w:r>
      <w:r>
        <w:t xml:space="preserve">teprve uskuteční. </w:t>
      </w:r>
      <w:r w:rsidR="00577CFD">
        <w:t xml:space="preserve">První obchod </w:t>
      </w:r>
      <w:r w:rsidR="004F6804">
        <w:t xml:space="preserve">s nimi </w:t>
      </w:r>
      <w:r w:rsidR="00577CFD">
        <w:t xml:space="preserve">se uskutečnil v roce 1851. </w:t>
      </w:r>
      <w:r w:rsidR="004F6804">
        <w:t>P</w:t>
      </w:r>
      <w:r>
        <w:t xml:space="preserve">ředmětem </w:t>
      </w:r>
      <w:r w:rsidR="004F6804">
        <w:t xml:space="preserve">jejich </w:t>
      </w:r>
      <w:r>
        <w:t>obchodování byla mouka, osivo a seno.</w:t>
      </w:r>
      <w:r w:rsidR="00D26401">
        <w:t xml:space="preserve"> </w:t>
      </w:r>
      <w:r>
        <w:t xml:space="preserve">V dnešní </w:t>
      </w:r>
      <w:r w:rsidR="00D26401">
        <w:t xml:space="preserve">době jsou </w:t>
      </w:r>
      <w:r w:rsidR="004F6804">
        <w:t xml:space="preserve">tyto obchody </w:t>
      </w:r>
      <w:r>
        <w:t>známy jak</w:t>
      </w:r>
      <w:r w:rsidR="00577CFD">
        <w:t>o forwardové kontrakty</w:t>
      </w:r>
      <w:r>
        <w:t>.</w:t>
      </w:r>
      <w:r>
        <w:rPr>
          <w:rStyle w:val="Znakapoznpodarou"/>
        </w:rPr>
        <w:footnoteReference w:id="6"/>
      </w:r>
      <w:r w:rsidR="004F6804">
        <w:t xml:space="preserve"> </w:t>
      </w:r>
    </w:p>
    <w:p w:rsidR="00D26401" w:rsidRDefault="00D26401" w:rsidP="00394B2B">
      <w:pPr>
        <w:spacing w:after="240" w:line="276" w:lineRule="auto"/>
        <w:jc w:val="both"/>
      </w:pPr>
      <w:r>
        <w:t>Obchodování s forwardy však bylo spojeno s mnoha problémy. Předmětná aktiva se</w:t>
      </w:r>
      <w:r w:rsidR="00EA6BC8">
        <w:t> </w:t>
      </w:r>
      <w:r>
        <w:t xml:space="preserve">kvalitativně lišila, nebyly standardizované termíny dodávky a obchodníci také často </w:t>
      </w:r>
      <w:r w:rsidR="004F6804">
        <w:t xml:space="preserve">nedodržovali </w:t>
      </w:r>
      <w:r>
        <w:t>sv</w:t>
      </w:r>
      <w:r w:rsidR="004F6804">
        <w:t>é závazky</w:t>
      </w:r>
      <w:r>
        <w:t xml:space="preserve">. Z těchto důvodu se burza CBOT </w:t>
      </w:r>
      <w:r w:rsidR="00FA1786">
        <w:t xml:space="preserve">v roce 1865 </w:t>
      </w:r>
      <w:r>
        <w:t>rozhodla kontrakty standardizovat, čímž vznikly futures kontrakty.</w:t>
      </w:r>
      <w:r>
        <w:rPr>
          <w:rStyle w:val="Znakapoznpodarou"/>
        </w:rPr>
        <w:footnoteReference w:id="7"/>
      </w:r>
      <w:r w:rsidR="00FA1786">
        <w:t xml:space="preserve"> Futures kontrakty mají oproti forwardům sta</w:t>
      </w:r>
      <w:r w:rsidR="00EE58C8">
        <w:t>ndardizovaná data</w:t>
      </w:r>
      <w:r w:rsidR="004F6804">
        <w:t xml:space="preserve"> a </w:t>
      </w:r>
      <w:r w:rsidR="00EE58C8">
        <w:t>místa dodávky a také kvalitu a množství podkladových aktiv. Ve</w:t>
      </w:r>
      <w:r w:rsidR="00EA6BC8">
        <w:t> </w:t>
      </w:r>
      <w:r w:rsidR="00EE58C8">
        <w:t>stejném roce CBOT taktéž zavedla systém marží, aby se předešlo problémům s obchodníky, kteří neplnili své závazky spojené se sjednanými kontrakty.</w:t>
      </w:r>
      <w:r w:rsidR="00EE58C8">
        <w:rPr>
          <w:rStyle w:val="Znakapoznpodarou"/>
        </w:rPr>
        <w:footnoteReference w:id="8"/>
      </w:r>
    </w:p>
    <w:p w:rsidR="00A966BE" w:rsidRDefault="00AE405D" w:rsidP="00394B2B">
      <w:pPr>
        <w:spacing w:after="240" w:line="276" w:lineRule="auto"/>
        <w:jc w:val="both"/>
      </w:pPr>
      <w:r>
        <w:t xml:space="preserve">Na konci 19. století </w:t>
      </w:r>
      <w:r w:rsidR="000E1E7C">
        <w:t>se objevil nový druh kontraktů,</w:t>
      </w:r>
      <w:r>
        <w:t xml:space="preserve"> tzv. </w:t>
      </w:r>
      <w:r w:rsidRPr="00AE405D">
        <w:rPr>
          <w:i/>
        </w:rPr>
        <w:t>„privilegia“</w:t>
      </w:r>
      <w:r>
        <w:t>. Jednalo se o futures kontrakt</w:t>
      </w:r>
      <w:r w:rsidR="00577CFD">
        <w:t>y</w:t>
      </w:r>
      <w:r>
        <w:t xml:space="preserve"> se specifickou vlastností, která prodávajícímu umožňovala odmítnout dodávku, pokud se cena zvýšila. Za tuto možnost platil </w:t>
      </w:r>
      <w:r w:rsidR="00577CFD">
        <w:t xml:space="preserve">prodávající </w:t>
      </w:r>
      <w:r>
        <w:t xml:space="preserve">při sjednání prémii. </w:t>
      </w:r>
      <w:r w:rsidRPr="00AE405D">
        <w:rPr>
          <w:i/>
        </w:rPr>
        <w:t>„Privilegia“</w:t>
      </w:r>
      <w:r>
        <w:rPr>
          <w:i/>
        </w:rPr>
        <w:t xml:space="preserve"> </w:t>
      </w:r>
      <w:r w:rsidR="00577CFD">
        <w:t>tedy byla</w:t>
      </w:r>
      <w:r>
        <w:t xml:space="preserve"> obdobou dnešních opcí.</w:t>
      </w:r>
      <w:r w:rsidR="004342F9">
        <w:t xml:space="preserve"> Burzovně s opcemi začala obchodovat až burza Chicago Board options exchange v roce 1973.</w:t>
      </w:r>
      <w:r w:rsidR="004342F9">
        <w:rPr>
          <w:rStyle w:val="Znakapoznpodarou"/>
        </w:rPr>
        <w:footnoteReference w:id="9"/>
      </w:r>
    </w:p>
    <w:p w:rsidR="007A3165" w:rsidRPr="004B24AC" w:rsidRDefault="00577CFD" w:rsidP="00394B2B">
      <w:pPr>
        <w:spacing w:after="240" w:line="276" w:lineRule="auto"/>
        <w:jc w:val="both"/>
      </w:pPr>
      <w:r>
        <w:t>Další druh derivátů –</w:t>
      </w:r>
      <w:r w:rsidR="007A3165" w:rsidRPr="004B24AC">
        <w:t xml:space="preserve"> s</w:t>
      </w:r>
      <w:r w:rsidR="004B24AC">
        <w:t>wapové</w:t>
      </w:r>
      <w:r>
        <w:t xml:space="preserve"> </w:t>
      </w:r>
      <w:r w:rsidR="004B24AC">
        <w:t>kontrakty</w:t>
      </w:r>
      <w:r w:rsidR="004342F9">
        <w:t>,</w:t>
      </w:r>
      <w:r w:rsidR="004B24AC">
        <w:t xml:space="preserve"> se objevily</w:t>
      </w:r>
      <w:r w:rsidR="004342F9">
        <w:t xml:space="preserve"> až</w:t>
      </w:r>
      <w:r w:rsidR="004B24AC">
        <w:t xml:space="preserve"> v 70. letech 20</w:t>
      </w:r>
      <w:r w:rsidR="007A3165" w:rsidRPr="004B24AC">
        <w:t>. století. Prvním swapem byl měnový swap, který vznikl ve Velké Británii. Ta v 70. letech ve snaze zabránit odlivu kapitálu z</w:t>
      </w:r>
      <w:r w:rsidR="004342F9">
        <w:t>avedla daně na měnové transakce.</w:t>
      </w:r>
      <w:r w:rsidR="007A3165" w:rsidRPr="004B24AC">
        <w:t xml:space="preserve"> V reakci na tento počin britské vlády začaly vznikat měnové obchody, které se snažily vyhnout zmíněnému opatření a které se staly základem pro vznik měnových swapů.</w:t>
      </w:r>
      <w:r w:rsidR="004342F9" w:rsidRPr="004B24AC">
        <w:rPr>
          <w:rStyle w:val="Znakapoznpodarou"/>
          <w:rFonts w:eastAsiaTheme="majorEastAsia"/>
        </w:rPr>
        <w:footnoteReference w:id="10"/>
      </w:r>
      <w:r w:rsidR="007A3165" w:rsidRPr="004B24AC">
        <w:t xml:space="preserve"> Trh swapů lze obecně považovat za nejdynamičtěji se</w:t>
      </w:r>
      <w:r w:rsidR="00EA6BC8">
        <w:t> </w:t>
      </w:r>
      <w:r w:rsidR="007A3165" w:rsidRPr="004B24AC">
        <w:t>vyvíjející trh derivátů.</w:t>
      </w:r>
    </w:p>
    <w:p w:rsidR="0003782A" w:rsidRDefault="0003782A" w:rsidP="00394B2B">
      <w:pPr>
        <w:spacing w:after="240" w:line="276" w:lineRule="auto"/>
        <w:jc w:val="both"/>
      </w:pPr>
      <w:r>
        <w:t>Osmdesátá léta byla počátkem rozvoje dalších mimoburzovních derivátů. V této době vznikalo mnoho nových produktů. Velké finanční společnosti začaly nabírat nové zaměstnance s matematickým vzděláním, kteří měli za úkol konstruovat nové, složitější finanční nástroje. Takovéto složitější deriváty jsou označovány jako „exotické“.</w:t>
      </w:r>
      <w:r>
        <w:rPr>
          <w:rStyle w:val="Znakapoznpodarou"/>
        </w:rPr>
        <w:footnoteReference w:id="11"/>
      </w:r>
    </w:p>
    <w:p w:rsidR="007A3165" w:rsidRDefault="0003782A" w:rsidP="00394B2B">
      <w:pPr>
        <w:spacing w:after="240" w:line="276" w:lineRule="auto"/>
        <w:jc w:val="both"/>
      </w:pPr>
      <w:r>
        <w:t xml:space="preserve">Je ovšem třeba zmínit, že vznik a obchodování s deriváty neprobíhalo idylicky. Především počátek 20. století představoval pro obchodování s deriváty „temné období“. Objevovaly </w:t>
      </w:r>
      <w:r>
        <w:lastRenderedPageBreak/>
        <w:t>se</w:t>
      </w:r>
      <w:r w:rsidR="00EA6BC8">
        <w:t> </w:t>
      </w:r>
      <w:r>
        <w:t>podvodné firmy, které lákaly investory k uzavírání opčních obchodů, načež s penězi zmizely.</w:t>
      </w:r>
      <w:r w:rsidRPr="0003782A">
        <w:t xml:space="preserve"> </w:t>
      </w:r>
      <w:r>
        <w:t>Mimo jiné z těchto důvodů bylo využívání opcí i futures v Evropě</w:t>
      </w:r>
      <w:r w:rsidR="000E1E7C">
        <w:t>, Japonsku</w:t>
      </w:r>
      <w:r>
        <w:t xml:space="preserve"> a</w:t>
      </w:r>
      <w:r w:rsidR="00EA6BC8">
        <w:t> </w:t>
      </w:r>
      <w:r>
        <w:t>dokonce i</w:t>
      </w:r>
      <w:r w:rsidR="00EA6BC8">
        <w:t> </w:t>
      </w:r>
      <w:r w:rsidR="000E1E7C">
        <w:t>v USA</w:t>
      </w:r>
      <w:r>
        <w:t xml:space="preserve"> několikrát zakázáno.</w:t>
      </w:r>
      <w:r>
        <w:rPr>
          <w:rStyle w:val="Znakapoznpodarou"/>
        </w:rPr>
        <w:footnoteReference w:id="12"/>
      </w:r>
    </w:p>
    <w:p w:rsidR="00B92EDA" w:rsidRDefault="00B92EDA" w:rsidP="00394B2B">
      <w:pPr>
        <w:spacing w:after="240" w:line="276" w:lineRule="auto"/>
        <w:jc w:val="both"/>
      </w:pPr>
    </w:p>
    <w:p w:rsidR="007A3165" w:rsidRDefault="007A3165" w:rsidP="00C27CB0">
      <w:pPr>
        <w:pStyle w:val="Nadpis2"/>
      </w:pPr>
      <w:bookmarkStart w:id="7" w:name="_Toc350414914"/>
      <w:bookmarkStart w:id="8" w:name="_Toc353550118"/>
      <w:bookmarkStart w:id="9" w:name="_Toc354393044"/>
      <w:r>
        <w:t>Členění termínových kontraktů</w:t>
      </w:r>
      <w:bookmarkEnd w:id="7"/>
      <w:bookmarkEnd w:id="8"/>
      <w:bookmarkEnd w:id="9"/>
    </w:p>
    <w:p w:rsidR="007A3165" w:rsidRDefault="007A3165" w:rsidP="00394B2B">
      <w:pPr>
        <w:spacing w:after="240" w:line="276" w:lineRule="auto"/>
        <w:jc w:val="both"/>
        <w:rPr>
          <w:color w:val="FF0000"/>
        </w:rPr>
      </w:pPr>
      <w:r>
        <w:t xml:space="preserve">Deriváty lze členit podle různých kritérií. Dle základního dělení </w:t>
      </w:r>
      <w:r w:rsidR="002053FF">
        <w:t xml:space="preserve">se </w:t>
      </w:r>
      <w:r>
        <w:t xml:space="preserve">deriváty </w:t>
      </w:r>
      <w:r w:rsidR="002053FF">
        <w:t xml:space="preserve">člení </w:t>
      </w:r>
      <w:r>
        <w:t>dle</w:t>
      </w:r>
      <w:r w:rsidR="00EA6BC8">
        <w:t> </w:t>
      </w:r>
      <w:r>
        <w:t>vzniklých práv a povinností, dle formy obchodování, druhu rizika a dle podkladového aktiva</w:t>
      </w:r>
      <w:r>
        <w:rPr>
          <w:color w:val="FF0000"/>
        </w:rPr>
        <w:t>.</w:t>
      </w:r>
    </w:p>
    <w:p w:rsidR="007A3165" w:rsidRDefault="007A3165" w:rsidP="00394B2B">
      <w:pPr>
        <w:spacing w:after="240" w:line="276" w:lineRule="auto"/>
        <w:jc w:val="both"/>
        <w:rPr>
          <w:color w:val="FF0000"/>
        </w:rPr>
      </w:pPr>
    </w:p>
    <w:p w:rsidR="007A3165" w:rsidRPr="00DE6A69" w:rsidRDefault="007A3165" w:rsidP="00394B2B">
      <w:pPr>
        <w:pStyle w:val="Nadpis3"/>
      </w:pPr>
      <w:bookmarkStart w:id="10" w:name="_Toc350414915"/>
      <w:bookmarkStart w:id="11" w:name="_Toc353550119"/>
      <w:bookmarkStart w:id="12" w:name="_Toc354393045"/>
      <w:r w:rsidRPr="00DE6A69">
        <w:t>Deriváty podle vzniklých práv a povinností</w:t>
      </w:r>
      <w:bookmarkEnd w:id="10"/>
      <w:bookmarkEnd w:id="11"/>
      <w:bookmarkEnd w:id="12"/>
    </w:p>
    <w:p w:rsidR="007A3165" w:rsidRDefault="007A3165" w:rsidP="00394B2B">
      <w:pPr>
        <w:spacing w:before="240" w:after="240" w:line="276" w:lineRule="auto"/>
        <w:jc w:val="both"/>
      </w:pPr>
      <w:r>
        <w:t xml:space="preserve">Podle tohoto hlediska </w:t>
      </w:r>
      <w:r w:rsidR="002053FF">
        <w:t>se</w:t>
      </w:r>
      <w:r>
        <w:t xml:space="preserve"> deriváty </w:t>
      </w:r>
      <w:r w:rsidR="002053FF">
        <w:t xml:space="preserve">člení </w:t>
      </w:r>
      <w:r>
        <w:t>na deriváty podmíněné neboli opční kontrakty a</w:t>
      </w:r>
      <w:r w:rsidR="002053FF">
        <w:t> </w:t>
      </w:r>
      <w:r>
        <w:t>nepodmíněné neboli pevné deriváty.</w:t>
      </w:r>
    </w:p>
    <w:p w:rsidR="007A3165" w:rsidRDefault="007A3165" w:rsidP="00394B2B">
      <w:pPr>
        <w:spacing w:after="240" w:line="276" w:lineRule="auto"/>
        <w:jc w:val="both"/>
      </w:pPr>
      <w:r>
        <w:t>Při sjednání nepodmíněného termínového kontraktu vzniká oběma stranám obchodu povinnost závazek plynoucí z uzavření obchodu splnit. Kupujícímu derivátového instrumentu tedy vzniká povinnost zaplatit a převzít dané podkladové aktivum, prodávající je povinen toto podkladové aktivum dodat. U pevných kontraktů tak vzniká pro obě strany kontraktu úvěrové riziko. Jedná se o riziko, že protistrana nedostojí svým závazkům. Z tohoto důvodu jsou u</w:t>
      </w:r>
      <w:r w:rsidR="00EA6BC8">
        <w:t> </w:t>
      </w:r>
      <w:r>
        <w:t>nepodmíněných derivátů kladeny vysoké nároky na bonitu jak kupujícího, tak prodávajícího těchto kontraktů.</w:t>
      </w:r>
      <w:r>
        <w:rPr>
          <w:rStyle w:val="Znakapoznpodarou"/>
          <w:rFonts w:eastAsiaTheme="majorEastAsia"/>
        </w:rPr>
        <w:footnoteReference w:id="13"/>
      </w:r>
    </w:p>
    <w:p w:rsidR="007A3165" w:rsidRDefault="007A3165" w:rsidP="00394B2B">
      <w:pPr>
        <w:spacing w:after="240" w:line="276" w:lineRule="auto"/>
        <w:jc w:val="both"/>
      </w:pPr>
      <w:r>
        <w:t>Podmíněné deriváty jsou takové deriváty, u kterých kupujícímu daného kontraktu vzniká právo, nikoli povinnost, uplatnit sjednaný termínový kontrakt. V případě, že se kupující rozhodne svého práva využít, vzniká prodávajícímu povinnost plnit závazky pro něho plynoucí z tohoto kontraktu. Úvěrové riziko protistrany tedy v tomto případě nese pouze kupující kontrakt</w:t>
      </w:r>
      <w:r w:rsidR="002053FF">
        <w:t>u</w:t>
      </w:r>
      <w:r>
        <w:t>, nikoli prodávající, pokud mu již byla zaplacena tzv. opční prémie.</w:t>
      </w:r>
      <w:r>
        <w:rPr>
          <w:rStyle w:val="Znakapoznpodarou"/>
          <w:rFonts w:eastAsiaTheme="majorEastAsia"/>
        </w:rPr>
        <w:footnoteReference w:id="14"/>
      </w:r>
    </w:p>
    <w:p w:rsidR="007A3165" w:rsidRDefault="007A3165" w:rsidP="00394B2B">
      <w:pPr>
        <w:spacing w:after="240" w:line="276" w:lineRule="auto"/>
        <w:jc w:val="both"/>
      </w:pPr>
      <w:r>
        <w:t xml:space="preserve">Mezi nepodmíněné deriváty </w:t>
      </w:r>
      <w:r w:rsidR="002053FF">
        <w:t>patří</w:t>
      </w:r>
      <w:r>
        <w:t xml:space="preserve"> kontrakty typu forward, futures a swapové obch</w:t>
      </w:r>
      <w:r w:rsidR="000E1E7C">
        <w:t xml:space="preserve">ody. K podmíněným derivátům </w:t>
      </w:r>
      <w:r>
        <w:t>přísluší opce.</w:t>
      </w:r>
    </w:p>
    <w:p w:rsidR="007A3165" w:rsidRPr="00DE6A69" w:rsidRDefault="007A3165" w:rsidP="00394B2B">
      <w:pPr>
        <w:spacing w:after="240" w:line="276" w:lineRule="auto"/>
        <w:jc w:val="both"/>
      </w:pPr>
    </w:p>
    <w:p w:rsidR="007A3165" w:rsidRDefault="007A3165" w:rsidP="00394B2B">
      <w:pPr>
        <w:pStyle w:val="Nadpis3"/>
      </w:pPr>
      <w:bookmarkStart w:id="13" w:name="_Toc350414916"/>
      <w:bookmarkStart w:id="14" w:name="_Toc353550120"/>
      <w:bookmarkStart w:id="15" w:name="_Toc354393046"/>
      <w:r>
        <w:t>Deriváty podle formy obchodování</w:t>
      </w:r>
      <w:bookmarkEnd w:id="13"/>
      <w:bookmarkEnd w:id="14"/>
      <w:bookmarkEnd w:id="15"/>
    </w:p>
    <w:p w:rsidR="007A3165" w:rsidRDefault="007A3165" w:rsidP="00394B2B">
      <w:pPr>
        <w:spacing w:before="240" w:after="240" w:line="276" w:lineRule="auto"/>
        <w:jc w:val="both"/>
      </w:pPr>
      <w:r>
        <w:t xml:space="preserve">Termínové kontrakty oproti „klasickým“ cenným papírům nevznikají emitováním. Vznikají buď dohodou, nebo jejich určením </w:t>
      </w:r>
      <w:r w:rsidR="002053FF" w:rsidRPr="006B1795">
        <w:t>burzou</w:t>
      </w:r>
      <w:r w:rsidR="002053FF">
        <w:t xml:space="preserve"> </w:t>
      </w:r>
      <w:r>
        <w:t xml:space="preserve">dle </w:t>
      </w:r>
      <w:r w:rsidRPr="006B1795">
        <w:t xml:space="preserve">standardizovaných podmínek. V případě derivátů mohou investoři vystupovat jak na straně kupujícího, tak na straně prodávajícího. </w:t>
      </w:r>
      <w:r w:rsidRPr="006B1795">
        <w:lastRenderedPageBreak/>
        <w:t>Počet termínových kontraktů</w:t>
      </w:r>
      <w:r>
        <w:t xml:space="preserve"> tak</w:t>
      </w:r>
      <w:r w:rsidRPr="006B1795">
        <w:t>, na rozdíl od cenných papírů, které vydává emitent, není</w:t>
      </w:r>
      <w:r w:rsidR="007D6A4B">
        <w:t> </w:t>
      </w:r>
      <w:r w:rsidRPr="006B1795">
        <w:t>nijak omezen.</w:t>
      </w:r>
      <w:r>
        <w:rPr>
          <w:rStyle w:val="Znakapoznpodarou"/>
          <w:rFonts w:eastAsiaTheme="majorEastAsia"/>
        </w:rPr>
        <w:footnoteReference w:id="15"/>
      </w:r>
    </w:p>
    <w:p w:rsidR="007A3165" w:rsidRDefault="007A3165" w:rsidP="00394B2B">
      <w:pPr>
        <w:spacing w:before="240" w:after="240" w:line="276" w:lineRule="auto"/>
        <w:jc w:val="both"/>
      </w:pPr>
      <w:r>
        <w:t xml:space="preserve">Deriváty </w:t>
      </w:r>
      <w:r w:rsidR="002053FF">
        <w:t>se</w:t>
      </w:r>
      <w:r>
        <w:t xml:space="preserve"> podle formy obchodování </w:t>
      </w:r>
      <w:r w:rsidR="002053FF">
        <w:t>dělí</w:t>
      </w:r>
      <w:r>
        <w:t xml:space="preserve"> na deriváty obchodované mimoburzovně a</w:t>
      </w:r>
      <w:r w:rsidR="00EA6BC8">
        <w:t> </w:t>
      </w:r>
      <w:r>
        <w:t>burzovně.</w:t>
      </w:r>
    </w:p>
    <w:p w:rsidR="007A3165" w:rsidRDefault="007A3165" w:rsidP="00394B2B">
      <w:pPr>
        <w:spacing w:after="240" w:line="276" w:lineRule="auto"/>
        <w:jc w:val="both"/>
      </w:pPr>
      <w:r>
        <w:t>Mimoburzovní termínové kontrakty jsou sjednávány na základě individuální dohody protistran na takz</w:t>
      </w:r>
      <w:r w:rsidR="002053FF">
        <w:t xml:space="preserve">vaných </w:t>
      </w:r>
      <w:r w:rsidR="002053FF" w:rsidRPr="00CE767D">
        <w:rPr>
          <w:i/>
        </w:rPr>
        <w:t>„Over the counter“</w:t>
      </w:r>
      <w:r w:rsidR="002053FF">
        <w:t xml:space="preserve"> </w:t>
      </w:r>
      <w:r>
        <w:t>neboli OTC trzích</w:t>
      </w:r>
      <w:r>
        <w:rPr>
          <w:rStyle w:val="Znakapoznpodarou"/>
          <w:rFonts w:eastAsiaTheme="majorEastAsia"/>
        </w:rPr>
        <w:footnoteReference w:id="16"/>
      </w:r>
      <w:r>
        <w:t>. Při</w:t>
      </w:r>
      <w:r w:rsidRPr="0049241C">
        <w:t xml:space="preserve"> obchodování přes</w:t>
      </w:r>
      <w:r w:rsidR="000E1E7C">
        <w:t> </w:t>
      </w:r>
      <w:r w:rsidRPr="0049241C">
        <w:t>OTC</w:t>
      </w:r>
      <w:r w:rsidR="000E1E7C">
        <w:t> </w:t>
      </w:r>
      <w:r w:rsidRPr="0049241C">
        <w:t>trhy muže dojít k riziku, že jedna z</w:t>
      </w:r>
      <w:r>
        <w:t>e stran nedostojí svým závazkům. V takovém případě</w:t>
      </w:r>
      <w:r w:rsidRPr="0049241C">
        <w:t xml:space="preserve"> </w:t>
      </w:r>
      <w:r w:rsidR="002053FF">
        <w:t>s</w:t>
      </w:r>
      <w:r>
        <w:t>e</w:t>
      </w:r>
      <w:r w:rsidR="00EA6BC8">
        <w:t> </w:t>
      </w:r>
      <w:r w:rsidR="002053FF">
        <w:t xml:space="preserve">jedná </w:t>
      </w:r>
      <w:r>
        <w:t>o</w:t>
      </w:r>
      <w:r w:rsidR="002053FF">
        <w:t xml:space="preserve"> riziko</w:t>
      </w:r>
      <w:r w:rsidRPr="0049241C">
        <w:t xml:space="preserve"> selhání protistrany</w:t>
      </w:r>
      <w:r>
        <w:t>. Na OTC trzích není žádná garance vypořádání</w:t>
      </w:r>
      <w:r w:rsidRPr="0049241C">
        <w:t>.</w:t>
      </w:r>
    </w:p>
    <w:p w:rsidR="007A3165" w:rsidRDefault="007A3165" w:rsidP="00394B2B">
      <w:pPr>
        <w:spacing w:after="240" w:line="276" w:lineRule="auto"/>
        <w:jc w:val="both"/>
      </w:pPr>
      <w:r>
        <w:t>Mimoburzovní obchodování je</w:t>
      </w:r>
      <w:r w:rsidRPr="0049241C">
        <w:t xml:space="preserve"> </w:t>
      </w:r>
      <w:r>
        <w:t xml:space="preserve">v posledních letech velmi populární a </w:t>
      </w:r>
      <w:r w:rsidR="002053FF">
        <w:t xml:space="preserve">svým objemem </w:t>
      </w:r>
      <w:r>
        <w:t xml:space="preserve">převyšuje </w:t>
      </w:r>
      <w:r w:rsidR="002053FF">
        <w:t>burzovní</w:t>
      </w:r>
      <w:r>
        <w:t xml:space="preserve"> obchodování</w:t>
      </w:r>
      <w:r w:rsidRPr="0049241C">
        <w:t xml:space="preserve">. Vysvětlením může být, že </w:t>
      </w:r>
      <w:r w:rsidR="002053FF">
        <w:t xml:space="preserve">OTC trhy jsou </w:t>
      </w:r>
      <w:r w:rsidR="00E5684C">
        <w:t>snadněji</w:t>
      </w:r>
      <w:r w:rsidR="002053FF">
        <w:t xml:space="preserve"> </w:t>
      </w:r>
      <w:r w:rsidR="00E5684C">
        <w:t>přístupné</w:t>
      </w:r>
      <w:r w:rsidRPr="0049241C">
        <w:t xml:space="preserve"> drobným in</w:t>
      </w:r>
      <w:r w:rsidR="002053FF">
        <w:t>vestorům než termínové burzy, j</w:t>
      </w:r>
      <w:r w:rsidR="00E5684C">
        <w:t>sou objemnější</w:t>
      </w:r>
      <w:r w:rsidRPr="0049241C">
        <w:t xml:space="preserve"> a nabízí širokou paletu druhů derivátů.</w:t>
      </w:r>
      <w:r w:rsidRPr="0049241C">
        <w:rPr>
          <w:rStyle w:val="Znakapoznpodarou"/>
          <w:rFonts w:eastAsiaTheme="majorEastAsia"/>
        </w:rPr>
        <w:footnoteReference w:id="17"/>
      </w:r>
      <w:r>
        <w:t xml:space="preserve"> Termínové kontrakty obchodované mimoburzovně však mají zpravidla nízkou likviditu. Příklady derivátů obchodovaných přes OTC trhy jsou forwardy, swapy a</w:t>
      </w:r>
      <w:r w:rsidR="00EA6BC8">
        <w:t> </w:t>
      </w:r>
      <w:r>
        <w:t>mimoburzovně obchodované opce.</w:t>
      </w:r>
    </w:p>
    <w:p w:rsidR="007A3165" w:rsidRDefault="007A3165" w:rsidP="00394B2B">
      <w:pPr>
        <w:spacing w:after="240" w:line="276" w:lineRule="auto"/>
        <w:jc w:val="both"/>
      </w:pPr>
      <w:r>
        <w:t xml:space="preserve">Burzovní derivátové kontrakty jsou obchodované na specializovaných termínových burzách, na kterých dochází k </w:t>
      </w:r>
      <w:r w:rsidRPr="0049241C">
        <w:t>takzvanému otevírání a zavírání pozic</w:t>
      </w:r>
      <w:r>
        <w:t xml:space="preserve">. </w:t>
      </w:r>
      <w:r w:rsidR="00E5684C" w:rsidRPr="0049241C">
        <w:t xml:space="preserve">Finanční deriváty jsou v tomto případě cennými papíry. </w:t>
      </w:r>
      <w:r w:rsidR="00E5684C">
        <w:t>Burzovní obchodování zajišťuje vysokou likviditu obchodov</w:t>
      </w:r>
      <w:r w:rsidR="00F46F03">
        <w:t>aných kontraktů, z</w:t>
      </w:r>
      <w:r w:rsidR="00E5684C">
        <w:t xml:space="preserve">části je </w:t>
      </w:r>
      <w:r w:rsidR="00F46F03">
        <w:t xml:space="preserve">tato </w:t>
      </w:r>
      <w:r w:rsidR="00E5684C">
        <w:t>likvidita vyvolána díky standardizaci podmínek obchodu. Na</w:t>
      </w:r>
      <w:r w:rsidR="00EA6BC8">
        <w:t> </w:t>
      </w:r>
      <w:r w:rsidR="00E5684C">
        <w:t>termínov</w:t>
      </w:r>
      <w:r w:rsidR="00F46F03">
        <w:t xml:space="preserve">ých burzách </w:t>
      </w:r>
      <w:r w:rsidR="00E5684C">
        <w:t xml:space="preserve">není obchodním partnerům ponechána smluvní volnost, veškeré podmínky </w:t>
      </w:r>
      <w:r w:rsidR="00F46F03">
        <w:t xml:space="preserve">obchodů </w:t>
      </w:r>
      <w:r w:rsidR="00E5684C">
        <w:t xml:space="preserve">jsou stanoveny burzou. </w:t>
      </w:r>
      <w:r w:rsidRPr="0049241C">
        <w:t>Jelikož se</w:t>
      </w:r>
      <w:r w:rsidR="00E5684C">
        <w:t xml:space="preserve"> však</w:t>
      </w:r>
      <w:r w:rsidRPr="0049241C">
        <w:t xml:space="preserve"> obchodování na organizované burze řídí přísnými pravidly, dochází prakticky k absenci rizika selhání protistrany. </w:t>
      </w:r>
      <w:r>
        <w:t>Deriváty obchodovanými na těchto burzách jsou futures kontrakty a burzovně obchodované opce.</w:t>
      </w:r>
    </w:p>
    <w:p w:rsidR="007A3165" w:rsidRDefault="0068582D" w:rsidP="00394B2B">
      <w:pPr>
        <w:spacing w:after="240" w:line="276" w:lineRule="auto"/>
        <w:jc w:val="both"/>
      </w:pPr>
      <w:r>
        <w:t>Mezi nejvýznamnější světové derivátové burzy</w:t>
      </w:r>
      <w:r w:rsidR="007A3165">
        <w:t xml:space="preserve"> </w:t>
      </w:r>
      <w:r>
        <w:t>patří</w:t>
      </w:r>
      <w:r w:rsidR="007A3165">
        <w:t xml:space="preserve"> Chicago Board of Trad</w:t>
      </w:r>
      <w:r>
        <w:t>e,</w:t>
      </w:r>
      <w:r w:rsidR="007A3165">
        <w:t xml:space="preserve"> Chicago Mercantile Exchange</w:t>
      </w:r>
      <w:r w:rsidR="00F46F03">
        <w:t xml:space="preserve">, </w:t>
      </w:r>
      <w:r>
        <w:t>Eurex a NYSE Euronext.</w:t>
      </w:r>
    </w:p>
    <w:p w:rsidR="007A3165" w:rsidRDefault="007A3165" w:rsidP="00394B2B">
      <w:pPr>
        <w:spacing w:after="240" w:line="276" w:lineRule="auto"/>
        <w:jc w:val="both"/>
      </w:pPr>
      <w:r>
        <w:t xml:space="preserve">Do nedávné doby bylo možné futures kontrakty obchodovat také na Burze cenných papírů Praha, a.s. Ke dni 30. </w:t>
      </w:r>
      <w:r w:rsidR="00F46F03">
        <w:t>listopadu</w:t>
      </w:r>
      <w:r>
        <w:t xml:space="preserve"> 2012 však na této burze došlo k mnoha významným změnám, ke kterým patřilo také vyřazení obchodování futures kontraktů. Nově se </w:t>
      </w:r>
      <w:r w:rsidR="0068582D">
        <w:t xml:space="preserve">tyto </w:t>
      </w:r>
      <w:r>
        <w:t>kontrakty ob</w:t>
      </w:r>
      <w:r w:rsidR="00F46F03">
        <w:t>chodují</w:t>
      </w:r>
      <w:r>
        <w:t xml:space="preserve"> na evropské derivátové burze Eurex.</w:t>
      </w:r>
      <w:r>
        <w:rPr>
          <w:rStyle w:val="Znakapoznpodarou"/>
          <w:rFonts w:eastAsiaTheme="majorEastAsia"/>
        </w:rPr>
        <w:footnoteReference w:id="18"/>
      </w:r>
    </w:p>
    <w:p w:rsidR="00BF382B" w:rsidRDefault="00BF382B" w:rsidP="00394B2B">
      <w:pPr>
        <w:spacing w:after="240" w:line="276" w:lineRule="auto"/>
        <w:jc w:val="both"/>
      </w:pPr>
      <w:r>
        <w:t xml:space="preserve">Oba způsoby obchodování derivátů – mimoburzovní a burzovní, má svou vlastní „klientelu“. OTC trhy jsou vhodnější pro zajišťovatele. Je na nich možné sjednat kontrakt „ušitý na míru“, který bude vyhovovat konkrétním podmínkám investora. Likvidita trhu není pro zajišťovatele </w:t>
      </w:r>
      <w:r>
        <w:lastRenderedPageBreak/>
        <w:t>podstatná. Naopak pro spekulanty je likvidita zásadním požadavkem. Pokud se objeví nová informace, je pro ně důležitá možnost rychlé změny pozice na trhu. Proto je pro spekulaci vhodnější naopak burzovní obchodování termínových kontraktů.</w:t>
      </w:r>
      <w:r>
        <w:rPr>
          <w:rStyle w:val="Znakapoznpodarou"/>
        </w:rPr>
        <w:footnoteReference w:id="19"/>
      </w:r>
    </w:p>
    <w:p w:rsidR="007A3165" w:rsidRPr="00964043" w:rsidRDefault="007A3165" w:rsidP="00394B2B">
      <w:pPr>
        <w:spacing w:after="240" w:line="276" w:lineRule="auto"/>
        <w:jc w:val="both"/>
      </w:pPr>
    </w:p>
    <w:p w:rsidR="007A3165" w:rsidRDefault="007A3165" w:rsidP="00394B2B">
      <w:pPr>
        <w:pStyle w:val="Nadpis3"/>
      </w:pPr>
      <w:bookmarkStart w:id="16" w:name="_Toc350414917"/>
      <w:bookmarkStart w:id="17" w:name="_Toc353550121"/>
      <w:bookmarkStart w:id="18" w:name="_Toc354393047"/>
      <w:r>
        <w:t>Deriváty podle druhu rizika</w:t>
      </w:r>
      <w:bookmarkEnd w:id="16"/>
      <w:bookmarkEnd w:id="17"/>
      <w:bookmarkEnd w:id="18"/>
      <w:r>
        <w:t xml:space="preserve"> </w:t>
      </w:r>
    </w:p>
    <w:p w:rsidR="005D2AF4" w:rsidRDefault="007A3165" w:rsidP="00EA6BC8">
      <w:pPr>
        <w:spacing w:before="240" w:after="240" w:line="276" w:lineRule="auto"/>
        <w:jc w:val="both"/>
        <w:rPr>
          <w:rFonts w:eastAsiaTheme="minorHAnsi"/>
          <w:lang w:eastAsia="en-US"/>
        </w:rPr>
      </w:pPr>
      <w:r>
        <w:t xml:space="preserve">Deriváty </w:t>
      </w:r>
      <w:r w:rsidR="00F46F03">
        <w:t>lze</w:t>
      </w:r>
      <w:r>
        <w:t xml:space="preserve"> také dělit dle druhů rizika, na které jsou vázány. </w:t>
      </w:r>
      <w:r w:rsidR="00F46F03">
        <w:t xml:space="preserve">Podle tohoto kritéria je možné deriváty rozdělit na </w:t>
      </w:r>
      <w:r>
        <w:t>deriváty na tržní riziko, úvěrové riziko a deriváty na jiná rizika.</w:t>
      </w:r>
      <w:r>
        <w:rPr>
          <w:rStyle w:val="Znakapoznpodarou"/>
          <w:rFonts w:eastAsiaTheme="majorEastAsia"/>
        </w:rPr>
        <w:footnoteReference w:id="20"/>
      </w:r>
    </w:p>
    <w:p w:rsidR="007A3165" w:rsidRPr="007D43CC" w:rsidRDefault="007A3165" w:rsidP="00394B2B">
      <w:pPr>
        <w:pStyle w:val="Odstavecseseznamem"/>
        <w:numPr>
          <w:ilvl w:val="0"/>
          <w:numId w:val="1"/>
        </w:numPr>
        <w:spacing w:after="240"/>
        <w:jc w:val="both"/>
        <w:rPr>
          <w:rFonts w:ascii="Times New Roman" w:hAnsi="Times New Roman" w:cs="Times New Roman"/>
          <w:sz w:val="24"/>
          <w:szCs w:val="24"/>
        </w:rPr>
      </w:pPr>
      <w:r w:rsidRPr="007D43CC">
        <w:rPr>
          <w:rFonts w:ascii="Times New Roman" w:hAnsi="Times New Roman" w:cs="Times New Roman"/>
          <w:sz w:val="24"/>
          <w:szCs w:val="24"/>
        </w:rPr>
        <w:t>Deriváty na tržní riziko</w:t>
      </w:r>
    </w:p>
    <w:p w:rsidR="00387B55" w:rsidRDefault="007A3165" w:rsidP="00387B55">
      <w:pPr>
        <w:spacing w:after="240" w:line="276" w:lineRule="auto"/>
        <w:jc w:val="both"/>
      </w:pPr>
      <w:r>
        <w:t xml:space="preserve">Díky </w:t>
      </w:r>
      <w:r w:rsidR="00387B55">
        <w:t xml:space="preserve">těmto </w:t>
      </w:r>
      <w:r>
        <w:t>derivátům</w:t>
      </w:r>
      <w:r w:rsidR="00387B55">
        <w:t xml:space="preserve"> </w:t>
      </w:r>
      <w:r>
        <w:t xml:space="preserve">se lze zajistit </w:t>
      </w:r>
      <w:r w:rsidR="00387B55">
        <w:t>proti</w:t>
      </w:r>
      <w:r>
        <w:t xml:space="preserve"> tržní</w:t>
      </w:r>
      <w:r w:rsidR="00387B55">
        <w:t>m rizikům</w:t>
      </w:r>
      <w:r>
        <w:t xml:space="preserve">. </w:t>
      </w:r>
      <w:r w:rsidR="00387B55">
        <w:t>Tržní riziko lze dělit na specifické a</w:t>
      </w:r>
      <w:r w:rsidR="0068582D">
        <w:t> </w:t>
      </w:r>
      <w:r w:rsidR="00387B55">
        <w:t xml:space="preserve">obecné tržní riziko. Obecné tržní riziko může být způsobeno změnou trhu jako celku. </w:t>
      </w:r>
      <w:r w:rsidR="0068582D">
        <w:t>Toto</w:t>
      </w:r>
      <w:r w:rsidR="007D6A4B">
        <w:t> </w:t>
      </w:r>
      <w:r w:rsidR="0068582D">
        <w:t>riziko je dáno</w:t>
      </w:r>
      <w:r w:rsidR="00387B55">
        <w:t xml:space="preserve"> makroekonomickými podmínkami. Specifick</w:t>
      </w:r>
      <w:r w:rsidR="0068582D">
        <w:t>é riziko může být zapříčiněno</w:t>
      </w:r>
      <w:r w:rsidR="00387B55">
        <w:t xml:space="preserve"> nepříznivým vývojem konkrétního</w:t>
      </w:r>
      <w:r w:rsidR="0068582D">
        <w:t xml:space="preserve"> investičního nástroje. Vztahuje</w:t>
      </w:r>
      <w:r w:rsidR="00387B55">
        <w:t xml:space="preserve"> se tedy k emitentům i</w:t>
      </w:r>
      <w:r w:rsidR="0068582D">
        <w:t>nvestičních nástrojů a souvisí</w:t>
      </w:r>
      <w:r w:rsidR="00387B55">
        <w:t xml:space="preserve"> se</w:t>
      </w:r>
      <w:r w:rsidR="00EA6BC8">
        <w:t> </w:t>
      </w:r>
      <w:r w:rsidR="00387B55">
        <w:t>zlepšením či zhoršením jejich finanční situace.</w:t>
      </w:r>
      <w:r w:rsidR="00387B55">
        <w:rPr>
          <w:rStyle w:val="Znakapoznpodarou"/>
        </w:rPr>
        <w:footnoteReference w:id="21"/>
      </w:r>
    </w:p>
    <w:p w:rsidR="0068582D" w:rsidRDefault="0068582D" w:rsidP="00F46F03">
      <w:pPr>
        <w:spacing w:after="240" w:line="276" w:lineRule="auto"/>
        <w:jc w:val="both"/>
      </w:pPr>
      <w:r>
        <w:t>Podle druhu aktiva, na které se vztahuje cena derivátu, lze dále členit deriváty na tržní riziko na deriváty úrokové, měnové, akciové a komoditní.</w:t>
      </w:r>
    </w:p>
    <w:p w:rsidR="00F46F03" w:rsidRDefault="007A3165" w:rsidP="00F46F03">
      <w:pPr>
        <w:spacing w:after="240" w:line="276" w:lineRule="auto"/>
        <w:jc w:val="both"/>
      </w:pPr>
      <w:r>
        <w:t xml:space="preserve">Úrokové deriváty jsou takovými kontrakty, jejichž cena je ovlivněna </w:t>
      </w:r>
      <w:r w:rsidR="00F46F03">
        <w:t>hodnotou úrokové míry</w:t>
      </w:r>
      <w:r>
        <w:t>.</w:t>
      </w:r>
      <w:r w:rsidR="00FE13C9">
        <w:t xml:space="preserve"> </w:t>
      </w:r>
      <w:r w:rsidR="005D2AF4">
        <w:t xml:space="preserve">Specifické </w:t>
      </w:r>
      <w:r w:rsidR="00387B55">
        <w:t xml:space="preserve">úrokové </w:t>
      </w:r>
      <w:r w:rsidR="005D2AF4">
        <w:t>riziko se někdy považuje za úvěrové riziko.</w:t>
      </w:r>
      <w:r w:rsidR="0068582D">
        <w:t xml:space="preserve"> </w:t>
      </w:r>
      <w:r>
        <w:t>Obdobně můžeme charakterizovat měnové deriváty. Cena těchto derivátů je odvozena od</w:t>
      </w:r>
      <w:r w:rsidR="00EA6BC8">
        <w:t> </w:t>
      </w:r>
      <w:r w:rsidR="00F46F03">
        <w:t xml:space="preserve">výše </w:t>
      </w:r>
      <w:r>
        <w:t xml:space="preserve">kurzů různých měn. </w:t>
      </w:r>
      <w:r w:rsidR="005D2AF4">
        <w:t xml:space="preserve"> Měnové riziko představuje riziko ztráty ze změn cen nástrojů citlivých na měnové kur</w:t>
      </w:r>
      <w:r w:rsidR="0068582D">
        <w:t>z</w:t>
      </w:r>
      <w:r w:rsidR="005D2AF4">
        <w:t xml:space="preserve">y. </w:t>
      </w:r>
      <w:r w:rsidR="004640D5">
        <w:t>Měnové deriváty, tedy obchody, které se neprovádějí okamžitě, obsahují také složku úrokového rizika.</w:t>
      </w:r>
      <w:r w:rsidR="004640D5">
        <w:rPr>
          <w:rStyle w:val="Znakapoznpodarou"/>
        </w:rPr>
        <w:footnoteReference w:id="22"/>
      </w:r>
      <w:r w:rsidR="004640D5">
        <w:t xml:space="preserve"> </w:t>
      </w:r>
      <w:r>
        <w:t>Podkladovými aktivy akciových derivátů jsou akciové instrumenty, u</w:t>
      </w:r>
      <w:r w:rsidR="007D6A4B">
        <w:t> </w:t>
      </w:r>
      <w:r>
        <w:t>komoditních derivátů pak jimi jsou komoditní instrumenty.</w:t>
      </w:r>
      <w:r w:rsidR="00F46F03" w:rsidRPr="00F46F03">
        <w:t xml:space="preserve"> </w:t>
      </w:r>
      <w:r w:rsidR="005D2AF4">
        <w:t>Akciové a komoditní riziko tedy představuje riziko ztráty ze změn cen nástrojů citlivých na ceny akcií, resp. komodit.</w:t>
      </w:r>
    </w:p>
    <w:p w:rsidR="0068582D" w:rsidRDefault="00F46F03" w:rsidP="0068582D">
      <w:pPr>
        <w:spacing w:after="240" w:line="276" w:lineRule="auto"/>
        <w:jc w:val="both"/>
        <w:rPr>
          <w:rFonts w:eastAsiaTheme="minorHAnsi"/>
          <w:lang w:eastAsia="en-US"/>
        </w:rPr>
      </w:pPr>
      <w:r>
        <w:t xml:space="preserve">Dle statistik </w:t>
      </w:r>
      <w:r w:rsidR="00C40701">
        <w:t xml:space="preserve">instituce </w:t>
      </w:r>
      <w:r w:rsidR="00C40701" w:rsidRPr="00C40701">
        <w:rPr>
          <w:i/>
        </w:rPr>
        <w:t>Bank for International Settlements</w:t>
      </w:r>
      <w:r w:rsidR="00C40701">
        <w:t xml:space="preserve"> </w:t>
      </w:r>
      <w:r w:rsidR="00EE01B4">
        <w:t>z roku 2012 zaujímají největší podíl na</w:t>
      </w:r>
      <w:r w:rsidR="00EA6BC8">
        <w:t> </w:t>
      </w:r>
      <w:r w:rsidR="00EE01B4">
        <w:t>OTC</w:t>
      </w:r>
      <w:r w:rsidR="00EA6BC8">
        <w:t> </w:t>
      </w:r>
      <w:r w:rsidR="00EE01B4">
        <w:t>trzích úrokové deriváty. V rámci úrokových derivátů pak na OTC trzích představují naprostou většinu swapy na úrokovou míru. Nejméně jsou naopak obchodovány komoditní deriváty.</w:t>
      </w:r>
      <w:r w:rsidR="0068582D">
        <w:t xml:space="preserve"> Úrokové deriváty jsou z hlediska nominálních hodnot nejvýznamnější t</w:t>
      </w:r>
      <w:r w:rsidR="00EE01B4">
        <w:t>aktéž na</w:t>
      </w:r>
      <w:r w:rsidR="007D6A4B">
        <w:t> </w:t>
      </w:r>
      <w:r w:rsidR="00EE01B4">
        <w:t>specializovaných termínových burzách</w:t>
      </w:r>
      <w:r w:rsidR="0068582D">
        <w:t>. P</w:t>
      </w:r>
      <w:r w:rsidR="00EE01B4">
        <w:t>ředstavují více jak 90 %</w:t>
      </w:r>
      <w:r w:rsidR="000C75A5">
        <w:t xml:space="preserve"> trhu. Pokud </w:t>
      </w:r>
      <w:r w:rsidR="000C75A5">
        <w:lastRenderedPageBreak/>
        <w:t>však</w:t>
      </w:r>
      <w:r w:rsidR="007D6A4B">
        <w:t> </w:t>
      </w:r>
      <w:r w:rsidR="000C75A5">
        <w:t>zastoupení derivátů srovnáme dle počtu sjednaných kontraktů, pak si více jak 90 % trhu dělí úrokové deriváty s akciovými deriváty.</w:t>
      </w:r>
      <w:r w:rsidR="000C75A5">
        <w:rPr>
          <w:rStyle w:val="Znakapoznpodarou"/>
          <w:rFonts w:eastAsiaTheme="majorEastAsia"/>
        </w:rPr>
        <w:footnoteReference w:id="23"/>
      </w:r>
    </w:p>
    <w:p w:rsidR="007A3165" w:rsidRPr="001336A8" w:rsidRDefault="007A3165" w:rsidP="00394B2B">
      <w:pPr>
        <w:pStyle w:val="Odstavecseseznamem"/>
        <w:numPr>
          <w:ilvl w:val="0"/>
          <w:numId w:val="1"/>
        </w:numPr>
        <w:spacing w:after="240"/>
        <w:jc w:val="both"/>
        <w:rPr>
          <w:rFonts w:ascii="Times New Roman" w:hAnsi="Times New Roman" w:cs="Times New Roman"/>
          <w:sz w:val="24"/>
          <w:szCs w:val="24"/>
        </w:rPr>
      </w:pPr>
      <w:r>
        <w:rPr>
          <w:rFonts w:ascii="Times New Roman" w:hAnsi="Times New Roman" w:cs="Times New Roman"/>
          <w:sz w:val="24"/>
          <w:szCs w:val="24"/>
        </w:rPr>
        <w:t>Deriváty na úvěrové riziko</w:t>
      </w:r>
    </w:p>
    <w:p w:rsidR="007A3165" w:rsidRDefault="007A3165" w:rsidP="00394B2B">
      <w:pPr>
        <w:spacing w:after="240" w:line="276" w:lineRule="auto"/>
        <w:jc w:val="both"/>
      </w:pPr>
      <w:r>
        <w:t>Deriváty na úvěrové riziko jsou používány k zajištění proti úvěrovému riziku. Toto riziko je</w:t>
      </w:r>
      <w:r w:rsidR="00EA6BC8">
        <w:t> </w:t>
      </w:r>
      <w:r>
        <w:t>odvozováno od určité právní či jinak definované skutečnosti, na rozdíl od tržního rizika, které je odvozováno od pohybu ceny podkladového aktiva.</w:t>
      </w:r>
      <w:r>
        <w:rPr>
          <w:rStyle w:val="Znakapoznpodarou"/>
          <w:rFonts w:eastAsiaTheme="majorEastAsia"/>
        </w:rPr>
        <w:footnoteReference w:id="24"/>
      </w:r>
    </w:p>
    <w:p w:rsidR="007A3165" w:rsidRPr="001336A8" w:rsidRDefault="007A3165" w:rsidP="00394B2B">
      <w:pPr>
        <w:pStyle w:val="Odstavecseseznamem"/>
        <w:numPr>
          <w:ilvl w:val="0"/>
          <w:numId w:val="1"/>
        </w:numPr>
        <w:spacing w:after="240"/>
        <w:jc w:val="both"/>
        <w:rPr>
          <w:rFonts w:ascii="Times New Roman" w:hAnsi="Times New Roman" w:cs="Times New Roman"/>
          <w:sz w:val="24"/>
          <w:szCs w:val="24"/>
        </w:rPr>
      </w:pPr>
      <w:r>
        <w:rPr>
          <w:rFonts w:ascii="Times New Roman" w:hAnsi="Times New Roman" w:cs="Times New Roman"/>
          <w:sz w:val="24"/>
          <w:szCs w:val="24"/>
        </w:rPr>
        <w:t>Deriváty na ostatní rizika</w:t>
      </w:r>
    </w:p>
    <w:p w:rsidR="007A3165" w:rsidRDefault="007A3165" w:rsidP="00394B2B">
      <w:pPr>
        <w:spacing w:after="240" w:line="276" w:lineRule="auto"/>
        <w:jc w:val="both"/>
      </w:pPr>
      <w:r>
        <w:t xml:space="preserve">Termínové kontrakty mohou být sjednávány i na nespočet jiných druhů rizik, vše záleží pouze na dohodě stran obchodu, pokud se jedná o mimoburzovní kontrakt. Jako příklad </w:t>
      </w:r>
      <w:r w:rsidR="00905040">
        <w:t>lze</w:t>
      </w:r>
      <w:r>
        <w:t xml:space="preserve"> uvést deriváty na počasí</w:t>
      </w:r>
      <w:r>
        <w:rPr>
          <w:rStyle w:val="Znakapoznpodarou"/>
          <w:rFonts w:eastAsiaTheme="majorEastAsia"/>
        </w:rPr>
        <w:footnoteReference w:id="25"/>
      </w:r>
      <w:r>
        <w:t>.</w:t>
      </w:r>
    </w:p>
    <w:p w:rsidR="00C55EB2" w:rsidRDefault="00C55EB2" w:rsidP="00394B2B">
      <w:pPr>
        <w:spacing w:after="240" w:line="276" w:lineRule="auto"/>
        <w:jc w:val="both"/>
      </w:pPr>
    </w:p>
    <w:p w:rsidR="007A3165" w:rsidRPr="00551909" w:rsidRDefault="007A3165" w:rsidP="00394B2B">
      <w:pPr>
        <w:pStyle w:val="Nadpis3"/>
      </w:pPr>
      <w:bookmarkStart w:id="19" w:name="_Toc350414918"/>
      <w:bookmarkStart w:id="20" w:name="_Toc353550122"/>
      <w:bookmarkStart w:id="21" w:name="_Toc354393048"/>
      <w:r>
        <w:t>Deriváty podle druhu podkladového aktiva</w:t>
      </w:r>
      <w:bookmarkEnd w:id="19"/>
      <w:bookmarkEnd w:id="20"/>
      <w:bookmarkEnd w:id="21"/>
    </w:p>
    <w:p w:rsidR="007A3165" w:rsidRDefault="007A3165" w:rsidP="00394B2B">
      <w:pPr>
        <w:spacing w:after="240" w:line="276" w:lineRule="auto"/>
        <w:jc w:val="both"/>
      </w:pPr>
      <w:r w:rsidRPr="00551909">
        <w:t xml:space="preserve">Jiným možným členěním termínových kontraktů je podle jejich podkladového aktiva. Základními druhy podkladových aktiv jsou finanční a reálná podkladová aktiva. Reálnými podkladovými aktivy </w:t>
      </w:r>
      <w:r w:rsidR="00905040">
        <w:t xml:space="preserve">lze chápat </w:t>
      </w:r>
      <w:r w:rsidRPr="00551909">
        <w:t>komodity, nemovitosti i movité věci. Mezi finanční aktiva se</w:t>
      </w:r>
      <w:r w:rsidR="00EA6BC8">
        <w:t> </w:t>
      </w:r>
      <w:r w:rsidRPr="00551909">
        <w:t>řadí cenné papíry, úrokové míry, měnové kurzy nebo burzovní indexy. Derivátové kontrakty odvozené od fin</w:t>
      </w:r>
      <w:r w:rsidR="00905040">
        <w:t>ančních aktiv jsou nazývány</w:t>
      </w:r>
      <w:r w:rsidRPr="00551909">
        <w:t xml:space="preserve"> finanční</w:t>
      </w:r>
      <w:r w:rsidR="00905040">
        <w:t>mi</w:t>
      </w:r>
      <w:r w:rsidRPr="00551909">
        <w:t xml:space="preserve"> deriváty.</w:t>
      </w:r>
    </w:p>
    <w:p w:rsidR="007A3165" w:rsidRDefault="00905040" w:rsidP="00394B2B">
      <w:pPr>
        <w:spacing w:after="240" w:line="276" w:lineRule="auto"/>
        <w:jc w:val="both"/>
      </w:pPr>
      <w:r>
        <w:t>Uvedené</w:t>
      </w:r>
      <w:r w:rsidR="007A3165" w:rsidRPr="00C9201A">
        <w:t xml:space="preserve"> členění podkladových aktiv je však pouze základní. Jak již bylo z</w:t>
      </w:r>
      <w:r w:rsidR="007A3165">
        <w:t>míněno výše</w:t>
      </w:r>
      <w:r w:rsidR="007A3165" w:rsidRPr="00C9201A">
        <w:t>, velká část derivátových kontraktů je sjednávána smluvně</w:t>
      </w:r>
      <w:r w:rsidR="007A3165">
        <w:t xml:space="preserve">, a </w:t>
      </w:r>
      <w:r w:rsidR="007A3165" w:rsidRPr="00C9201A">
        <w:t>dochází tedy k individualiz</w:t>
      </w:r>
      <w:r w:rsidR="007A3165">
        <w:t>aci</w:t>
      </w:r>
      <w:r w:rsidR="007A3165" w:rsidRPr="00C9201A">
        <w:t xml:space="preserve"> podmínek obchodu</w:t>
      </w:r>
      <w:r w:rsidR="007A3165">
        <w:t xml:space="preserve">. To znamená, že </w:t>
      </w:r>
      <w:r w:rsidR="0006076A">
        <w:t>na základě souhlasné vůle stran</w:t>
      </w:r>
      <w:r w:rsidR="007A3165" w:rsidRPr="00C9201A">
        <w:t xml:space="preserve"> může být podkladovým aktivem </w:t>
      </w:r>
      <w:r w:rsidR="0006076A">
        <w:t xml:space="preserve">učiněno </w:t>
      </w:r>
      <w:r w:rsidR="007A3165" w:rsidRPr="00C9201A">
        <w:t>prakticky cokoli.</w:t>
      </w:r>
    </w:p>
    <w:p w:rsidR="007A3165" w:rsidRDefault="007A3165" w:rsidP="00394B2B">
      <w:pPr>
        <w:spacing w:after="240" w:line="276" w:lineRule="auto"/>
        <w:jc w:val="both"/>
      </w:pPr>
    </w:p>
    <w:p w:rsidR="004A42C4" w:rsidRDefault="004A42C4">
      <w:pPr>
        <w:suppressAutoHyphens w:val="0"/>
        <w:spacing w:after="200" w:line="276" w:lineRule="auto"/>
        <w:rPr>
          <w:rFonts w:eastAsiaTheme="majorEastAsia" w:cstheme="majorBidi"/>
          <w:b/>
          <w:bCs/>
          <w:sz w:val="28"/>
          <w:szCs w:val="26"/>
        </w:rPr>
      </w:pPr>
      <w:bookmarkStart w:id="22" w:name="_Toc350414919"/>
      <w:bookmarkStart w:id="23" w:name="_Toc353550123"/>
      <w:r>
        <w:br w:type="page"/>
      </w:r>
    </w:p>
    <w:p w:rsidR="007A3165" w:rsidRDefault="007A3165" w:rsidP="00C27CB0">
      <w:pPr>
        <w:pStyle w:val="Nadpis2"/>
      </w:pPr>
      <w:bookmarkStart w:id="24" w:name="_Toc354393049"/>
      <w:r>
        <w:lastRenderedPageBreak/>
        <w:t xml:space="preserve">Zajištění prostřednictvím </w:t>
      </w:r>
      <w:bookmarkEnd w:id="22"/>
      <w:bookmarkEnd w:id="23"/>
      <w:r w:rsidR="005D45D9">
        <w:t>derivátů</w:t>
      </w:r>
      <w:bookmarkEnd w:id="24"/>
      <w:r>
        <w:t xml:space="preserve"> </w:t>
      </w:r>
    </w:p>
    <w:p w:rsidR="00526C59" w:rsidRDefault="00526C59" w:rsidP="00394B2B">
      <w:pPr>
        <w:spacing w:after="240" w:line="276" w:lineRule="auto"/>
        <w:jc w:val="both"/>
      </w:pPr>
      <w:r>
        <w:t>„Zajištění je technika řízení rizik, pří níž dochází k minimalizaci nebo úplnému vymizení vlivu možné změny určitého rizikového faktoru.“</w:t>
      </w:r>
      <w:r>
        <w:rPr>
          <w:rStyle w:val="Znakapoznpodarou"/>
        </w:rPr>
        <w:footnoteReference w:id="26"/>
      </w:r>
    </w:p>
    <w:p w:rsidR="007A3165" w:rsidRDefault="0006076A" w:rsidP="00394B2B">
      <w:pPr>
        <w:spacing w:after="240" w:line="276" w:lineRule="auto"/>
        <w:jc w:val="both"/>
      </w:pPr>
      <w:r>
        <w:t>H</w:t>
      </w:r>
      <w:r w:rsidR="007A3165">
        <w:t xml:space="preserve">lavním důvodem vzniku termínových kontraktů bylo právě zajištění </w:t>
      </w:r>
      <w:r w:rsidR="00EA4751">
        <w:t xml:space="preserve">neboli </w:t>
      </w:r>
      <w:r w:rsidR="00EA4751" w:rsidRPr="00EA4751">
        <w:rPr>
          <w:i/>
        </w:rPr>
        <w:t>hedging</w:t>
      </w:r>
      <w:r w:rsidR="00EA4751">
        <w:t xml:space="preserve"> </w:t>
      </w:r>
      <w:r w:rsidR="007A3165">
        <w:t>před</w:t>
      </w:r>
      <w:r w:rsidR="00EA6BC8">
        <w:t> </w:t>
      </w:r>
      <w:r w:rsidR="007A3165">
        <w:t>nepříznivým pohybem cen podkladových aktiv. Zajištění vychází ze základního principu fungování finančních derivátů. Pokud se investor obává změny hodnoty určitého aktiva k</w:t>
      </w:r>
      <w:r w:rsidR="00EA6BC8">
        <w:t> </w:t>
      </w:r>
      <w:r w:rsidR="007A3165">
        <w:t>horšímu, je možné si cenu pomocí derivátů zafixovat ke konkrétnímu datu v budoucnu. Riziko kolísání hodnoty podkladového aktiva se tak pře</w:t>
      </w:r>
      <w:r>
        <w:t>náší na jiný ekonomický subjekt, což</w:t>
      </w:r>
      <w:r w:rsidR="00EA6BC8">
        <w:t> </w:t>
      </w:r>
      <w:r>
        <w:t xml:space="preserve">obecně zvyšuje ochotu obchodníků </w:t>
      </w:r>
      <w:r w:rsidR="007A3165">
        <w:t>podnikat. Funkce zajištění u derivátů tedy podporuje ekonomickou aktivitu.</w:t>
      </w:r>
      <w:r w:rsidR="007A3165">
        <w:rPr>
          <w:rStyle w:val="Znakapoznpodarou"/>
          <w:rFonts w:eastAsiaTheme="majorEastAsia"/>
        </w:rPr>
        <w:footnoteReference w:id="27"/>
      </w:r>
    </w:p>
    <w:p w:rsidR="0006076A" w:rsidRDefault="007A3165" w:rsidP="00394B2B">
      <w:pPr>
        <w:spacing w:after="240" w:line="276" w:lineRule="auto"/>
        <w:jc w:val="both"/>
      </w:pPr>
      <w:r>
        <w:t xml:space="preserve">Prostřednictvím derivátů dochází k zajištění budoucích peněžních toků </w:t>
      </w:r>
      <w:r w:rsidR="0006076A">
        <w:t>či</w:t>
      </w:r>
      <w:r>
        <w:t xml:space="preserve"> aktuální hodnoty portfolia. </w:t>
      </w:r>
      <w:r w:rsidR="0006076A">
        <w:t>Kromě zajištění aktuálně držených aktiv proti změně jejich hodnoty na promptním trhu</w:t>
      </w:r>
      <w:r w:rsidR="00AD34E4">
        <w:t xml:space="preserve"> si </w:t>
      </w:r>
      <w:r w:rsidR="00623447">
        <w:t xml:space="preserve">tedy </w:t>
      </w:r>
      <w:r w:rsidR="00AD34E4">
        <w:t xml:space="preserve">lze zajistit </w:t>
      </w:r>
      <w:r w:rsidR="00623447">
        <w:t>také aktiva, která</w:t>
      </w:r>
      <w:r w:rsidR="00AD34E4">
        <w:t xml:space="preserve"> investor v dané chvíli nevlastní, avšak o</w:t>
      </w:r>
      <w:r w:rsidR="00623447">
        <w:t>čekává jejich příjem v budoucnu</w:t>
      </w:r>
      <w:r w:rsidR="00AD34E4">
        <w:t>.</w:t>
      </w:r>
      <w:r w:rsidR="00AD34E4">
        <w:rPr>
          <w:rStyle w:val="Znakapoznpodarou"/>
          <w:rFonts w:eastAsiaTheme="majorEastAsia"/>
        </w:rPr>
        <w:footnoteReference w:id="28"/>
      </w:r>
    </w:p>
    <w:p w:rsidR="00280FC7" w:rsidRDefault="00280FC7" w:rsidP="00280FC7">
      <w:pPr>
        <w:spacing w:after="240" w:line="276" w:lineRule="auto"/>
        <w:jc w:val="both"/>
      </w:pPr>
      <w:r>
        <w:t>Zajišťovatel vstupuje na trh derivátů za účelem snížení již existujícího rizika. Pokud chce investor zajistit určitou svou existující pozici na spotovém trhu, nebo zajišťuje tzv. předpokládanou operaci</w:t>
      </w:r>
      <w:r>
        <w:rPr>
          <w:rStyle w:val="Znakapoznpodarou"/>
          <w:rFonts w:eastAsiaTheme="majorEastAsia"/>
        </w:rPr>
        <w:footnoteReference w:id="29"/>
      </w:r>
      <w:r>
        <w:t>, uzavře na termínovém trhu pozici opačnou. Sjednává tedy takovou pozici, která se bude vyvíjet zrcadlově k zajišťované pozici. Tato strategie následně při splatnosti zajistí vzájemnou kompenzaci těchto obchodů. Pokud tedy jedna pozice bude znehodnocovat, druhá pozice zhodnotí a naopak</w:t>
      </w:r>
      <w:r>
        <w:rPr>
          <w:rStyle w:val="Znakapoznpodarou"/>
          <w:rFonts w:eastAsiaTheme="majorEastAsia"/>
        </w:rPr>
        <w:footnoteReference w:id="30"/>
      </w:r>
      <w:r>
        <w:t>. Díky tomu, že v době splatnosti obecně platí pravidlo, že se ceny podkladového aktiva na spotovém a termínovém trhu rovnají, rovná se tedy i zisk z jedné pozice ztrátě plynoucí z druhé pozice</w:t>
      </w:r>
      <w:r>
        <w:rPr>
          <w:rStyle w:val="Znakapoznpodarou"/>
          <w:rFonts w:eastAsiaTheme="majorEastAsia"/>
        </w:rPr>
        <w:footnoteReference w:id="31"/>
      </w:r>
      <w:r>
        <w:t>. Zajišťovatel tedy i přes příznivý vývoj cen nerealizuje zisk.</w:t>
      </w:r>
    </w:p>
    <w:p w:rsidR="00280FC7" w:rsidRDefault="00280FC7" w:rsidP="00280FC7">
      <w:pPr>
        <w:spacing w:after="240" w:line="276" w:lineRule="auto"/>
        <w:jc w:val="both"/>
      </w:pPr>
      <w:r>
        <w:t>Pro zajištění je nejvhodnější, pokud investor použije instrument, který je dokonale negativně korelován s vývojem ceny podkladového aktiva. Proto jsou nejvhodnější instrumenty, jejichž hodnota je odvozena od klasických cenných papírů. Ve skutečnosti je však velice obtížné najít dokonale korelovaný vývoj a proto často dochází pouze k částečnému zajištění.</w:t>
      </w:r>
      <w:r>
        <w:rPr>
          <w:rStyle w:val="Znakapoznpodarou"/>
          <w:rFonts w:eastAsiaTheme="majorEastAsia"/>
        </w:rPr>
        <w:footnoteReference w:id="32"/>
      </w:r>
    </w:p>
    <w:p w:rsidR="00B2710C" w:rsidRDefault="007A3165" w:rsidP="00394B2B">
      <w:pPr>
        <w:spacing w:after="240" w:line="276" w:lineRule="auto"/>
        <w:jc w:val="both"/>
      </w:pPr>
      <w:r>
        <w:t xml:space="preserve">Dle cíle </w:t>
      </w:r>
      <w:r w:rsidR="00B2710C">
        <w:t>zajištění vstupují obchodníci do dlouhé</w:t>
      </w:r>
      <w:r>
        <w:t xml:space="preserve"> nebo krátké pozice v</w:t>
      </w:r>
      <w:r w:rsidR="00AD34E4">
        <w:t> </w:t>
      </w:r>
      <w:r>
        <w:t>obchodu</w:t>
      </w:r>
      <w:r w:rsidR="00AD34E4">
        <w:t xml:space="preserve">. </w:t>
      </w:r>
      <w:r w:rsidR="00B2710C">
        <w:t xml:space="preserve">Pokud v budoucnu očekávají, že budou nakupovat dané podkladové aktivum, pak vstoupí do dlouhé neboli long pozice, čímž si do budoucna zajistí fixní cenu na nákup podkladového aktiva. </w:t>
      </w:r>
      <w:r w:rsidR="00B2710C">
        <w:lastRenderedPageBreak/>
        <w:t>Naopak krátká neboli short pozice představuje zajištění pro ty obchodníky, kteří budou v budoucnu prodávat určité podkladové aktivum. Vstupem do pozice si zajistí fixní cenu pro</w:t>
      </w:r>
      <w:r w:rsidR="00EA6BC8">
        <w:t> </w:t>
      </w:r>
      <w:r w:rsidR="00B2710C">
        <w:t>prodej daného aktiva.</w:t>
      </w:r>
    </w:p>
    <w:p w:rsidR="007A3165" w:rsidRDefault="007A3165" w:rsidP="00394B2B">
      <w:pPr>
        <w:spacing w:after="240" w:line="276" w:lineRule="auto"/>
        <w:jc w:val="both"/>
      </w:pPr>
      <w:r>
        <w:t>Při obchodování s deriváty je využíváno</w:t>
      </w:r>
      <w:r w:rsidRPr="00791BBC">
        <w:t xml:space="preserve"> </w:t>
      </w:r>
      <w:r w:rsidR="006B0423">
        <w:t xml:space="preserve">tzv. </w:t>
      </w:r>
      <w:r w:rsidRPr="00791BBC">
        <w:t>pákového efektu</w:t>
      </w:r>
      <w:r>
        <w:t xml:space="preserve">, který je nutnou podmínkou charakteristiky derivátů. Díky tomuto efektu investor nemusí disponovat peněžními </w:t>
      </w:r>
      <w:r w:rsidRPr="00791BBC">
        <w:t xml:space="preserve">prostředky odpovídajícími dané hodnotě podkladového aktiva. Na pořízení finančních derivátů </w:t>
      </w:r>
      <w:r>
        <w:t>tak</w:t>
      </w:r>
      <w:r w:rsidRPr="00791BBC">
        <w:t xml:space="preserve"> stačí pouze zlomek této hodnoty. Za sjednání finančního derivátu se neplatí nic nebo jen minimální částka v poměru s hodnotou podkladového aktiva. Díky tomu je možno d</w:t>
      </w:r>
      <w:r>
        <w:t>osahovat nadprůměrného zisku, avšak</w:t>
      </w:r>
      <w:r w:rsidRPr="00791BBC">
        <w:t xml:space="preserve"> </w:t>
      </w:r>
      <w:r>
        <w:t>stejně tak</w:t>
      </w:r>
      <w:r w:rsidRPr="00791BBC">
        <w:t xml:space="preserve"> i nadprůměrné ztráty. Platí pravidlo, že čím je počáteční investice nižší, tím je pákový efekt vyšší.</w:t>
      </w:r>
      <w:r>
        <w:t xml:space="preserve"> </w:t>
      </w:r>
      <w:r w:rsidRPr="00791BBC">
        <w:t>Zajištění obchodů by bez tohoto efektu nebylo efektivní. Zajišťovatelé by museli investovat počáteční investici, která by odpovídala zajišťovací investici. Tím by celá operace ztratila na významu.</w:t>
      </w:r>
      <w:r w:rsidRPr="00791BBC">
        <w:rPr>
          <w:rStyle w:val="Znakapoznpodarou"/>
          <w:rFonts w:eastAsiaTheme="majorEastAsia"/>
        </w:rPr>
        <w:footnoteReference w:id="33"/>
      </w:r>
    </w:p>
    <w:p w:rsidR="007A3165" w:rsidRDefault="007A3165" w:rsidP="00394B2B">
      <w:pPr>
        <w:spacing w:after="240" w:line="276" w:lineRule="auto"/>
        <w:jc w:val="both"/>
      </w:pPr>
      <w:r>
        <w:t>Pro úplnost je třeba zmínit další dva možné základní způsoby využití</w:t>
      </w:r>
      <w:r w:rsidR="00AC6F95">
        <w:t xml:space="preserve"> derivátů, konkrétně spekulaci a</w:t>
      </w:r>
      <w:r>
        <w:t xml:space="preserve"> arbitráž. </w:t>
      </w:r>
    </w:p>
    <w:p w:rsidR="007A3165" w:rsidRDefault="007A3165" w:rsidP="00CE767D">
      <w:pPr>
        <w:pStyle w:val="Odstavecseseznamem"/>
        <w:numPr>
          <w:ilvl w:val="0"/>
          <w:numId w:val="2"/>
        </w:numPr>
        <w:contextualSpacing w:val="0"/>
        <w:jc w:val="both"/>
        <w:rPr>
          <w:rFonts w:ascii="Times New Roman" w:hAnsi="Times New Roman" w:cs="Times New Roman"/>
          <w:sz w:val="24"/>
          <w:szCs w:val="24"/>
        </w:rPr>
      </w:pPr>
      <w:r w:rsidRPr="00B50353">
        <w:rPr>
          <w:rFonts w:ascii="Times New Roman" w:hAnsi="Times New Roman" w:cs="Times New Roman"/>
          <w:sz w:val="24"/>
          <w:szCs w:val="24"/>
          <w:u w:val="single"/>
        </w:rPr>
        <w:t>Spekulace</w:t>
      </w:r>
      <w:r>
        <w:rPr>
          <w:rFonts w:ascii="Times New Roman" w:hAnsi="Times New Roman" w:cs="Times New Roman"/>
          <w:sz w:val="24"/>
          <w:szCs w:val="24"/>
        </w:rPr>
        <w:t xml:space="preserve"> - </w:t>
      </w:r>
      <w:r w:rsidRPr="00791BBC">
        <w:rPr>
          <w:rFonts w:ascii="Times New Roman" w:hAnsi="Times New Roman" w:cs="Times New Roman"/>
          <w:sz w:val="24"/>
          <w:szCs w:val="24"/>
        </w:rPr>
        <w:t>V dnešní době termínové kontrakty slouží především právě ke</w:t>
      </w:r>
      <w:r w:rsidR="00EA6BC8">
        <w:rPr>
          <w:rFonts w:ascii="Times New Roman" w:hAnsi="Times New Roman" w:cs="Times New Roman"/>
          <w:sz w:val="24"/>
          <w:szCs w:val="24"/>
        </w:rPr>
        <w:t> </w:t>
      </w:r>
      <w:r w:rsidRPr="00791BBC">
        <w:rPr>
          <w:rFonts w:ascii="Times New Roman" w:hAnsi="Times New Roman" w:cs="Times New Roman"/>
          <w:sz w:val="24"/>
          <w:szCs w:val="24"/>
        </w:rPr>
        <w:t xml:space="preserve">spekulacím. Spekulant obchoduje deriváty za účelem realizace zisku díky pohybům cen </w:t>
      </w:r>
      <w:r>
        <w:rPr>
          <w:rFonts w:ascii="Times New Roman" w:hAnsi="Times New Roman" w:cs="Times New Roman"/>
          <w:sz w:val="24"/>
          <w:szCs w:val="24"/>
        </w:rPr>
        <w:t xml:space="preserve">podkladových aktiv </w:t>
      </w:r>
      <w:r w:rsidR="00AC6F95">
        <w:rPr>
          <w:rFonts w:ascii="Times New Roman" w:hAnsi="Times New Roman" w:cs="Times New Roman"/>
          <w:sz w:val="24"/>
          <w:szCs w:val="24"/>
        </w:rPr>
        <w:t>na trhu.</w:t>
      </w:r>
    </w:p>
    <w:p w:rsidR="007A3165" w:rsidRDefault="007A3165" w:rsidP="00CE767D">
      <w:pPr>
        <w:pStyle w:val="Odstavecseseznamem"/>
        <w:numPr>
          <w:ilvl w:val="0"/>
          <w:numId w:val="2"/>
        </w:numPr>
        <w:spacing w:after="240"/>
        <w:contextualSpacing w:val="0"/>
        <w:jc w:val="both"/>
        <w:rPr>
          <w:rFonts w:ascii="Times New Roman" w:hAnsi="Times New Roman" w:cs="Times New Roman"/>
          <w:sz w:val="24"/>
          <w:szCs w:val="24"/>
        </w:rPr>
      </w:pPr>
      <w:r w:rsidRPr="00791BBC">
        <w:rPr>
          <w:rFonts w:ascii="Times New Roman" w:hAnsi="Times New Roman" w:cs="Times New Roman"/>
          <w:sz w:val="24"/>
          <w:szCs w:val="24"/>
          <w:u w:val="single"/>
        </w:rPr>
        <w:t>Arbitráž</w:t>
      </w:r>
      <w:r w:rsidRPr="00791BBC">
        <w:rPr>
          <w:rFonts w:ascii="Times New Roman" w:hAnsi="Times New Roman" w:cs="Times New Roman"/>
          <w:sz w:val="24"/>
          <w:szCs w:val="24"/>
        </w:rPr>
        <w:t xml:space="preserve"> – Obchodování s</w:t>
      </w:r>
      <w:r>
        <w:rPr>
          <w:rFonts w:ascii="Times New Roman" w:hAnsi="Times New Roman" w:cs="Times New Roman"/>
          <w:sz w:val="24"/>
          <w:szCs w:val="24"/>
        </w:rPr>
        <w:t> deriváty z důvodu arbitráže</w:t>
      </w:r>
      <w:r w:rsidRPr="00791BBC">
        <w:rPr>
          <w:rFonts w:ascii="Times New Roman" w:hAnsi="Times New Roman" w:cs="Times New Roman"/>
          <w:sz w:val="24"/>
          <w:szCs w:val="24"/>
        </w:rPr>
        <w:t xml:space="preserve"> využívá cenových diferencí. Arbitražér dosahuje zisk, aniž by současně podstupoval riziko. Tyto diference mohou být dány z hlediska časového nebo teritoriálního. Vlivem propojování světových trhů a globálnímu stanovování cen je však možnost realizace arbitráže </w:t>
      </w:r>
      <w:r w:rsidR="00AC6F95">
        <w:rPr>
          <w:rFonts w:ascii="Times New Roman" w:hAnsi="Times New Roman" w:cs="Times New Roman"/>
          <w:sz w:val="24"/>
          <w:szCs w:val="24"/>
        </w:rPr>
        <w:t xml:space="preserve">v dnešní době </w:t>
      </w:r>
      <w:r w:rsidRPr="00791BBC">
        <w:rPr>
          <w:rFonts w:ascii="Times New Roman" w:hAnsi="Times New Roman" w:cs="Times New Roman"/>
          <w:sz w:val="24"/>
          <w:szCs w:val="24"/>
        </w:rPr>
        <w:t>potlačena.</w:t>
      </w:r>
    </w:p>
    <w:p w:rsidR="006B0423" w:rsidRDefault="006B0423">
      <w:pPr>
        <w:suppressAutoHyphens w:val="0"/>
        <w:spacing w:after="200" w:line="276" w:lineRule="auto"/>
        <w:rPr>
          <w:b/>
          <w:kern w:val="28"/>
          <w:sz w:val="40"/>
          <w:szCs w:val="20"/>
          <w:lang w:eastAsia="cs-CZ"/>
        </w:rPr>
      </w:pPr>
      <w:bookmarkStart w:id="25" w:name="_Toc353550124"/>
      <w:r>
        <w:br w:type="page"/>
      </w:r>
    </w:p>
    <w:p w:rsidR="008122F3" w:rsidRDefault="008122F3" w:rsidP="007616BB">
      <w:pPr>
        <w:pStyle w:val="Nadpis1"/>
      </w:pPr>
      <w:bookmarkStart w:id="26" w:name="_Toc354393050"/>
      <w:r w:rsidRPr="005E52AC">
        <w:lastRenderedPageBreak/>
        <w:t>FORWARD</w:t>
      </w:r>
      <w:r>
        <w:t>Y</w:t>
      </w:r>
      <w:bookmarkEnd w:id="25"/>
      <w:bookmarkEnd w:id="26"/>
    </w:p>
    <w:p w:rsidR="002126DD" w:rsidRPr="002126DD" w:rsidRDefault="002126DD" w:rsidP="002126DD">
      <w:pPr>
        <w:spacing w:after="240" w:line="276" w:lineRule="auto"/>
        <w:rPr>
          <w:lang w:eastAsia="cs-CZ"/>
        </w:rPr>
      </w:pPr>
    </w:p>
    <w:p w:rsidR="008122F3" w:rsidRDefault="008122F3" w:rsidP="002126DD">
      <w:pPr>
        <w:spacing w:after="240" w:line="276" w:lineRule="auto"/>
        <w:jc w:val="both"/>
      </w:pPr>
      <w:r>
        <w:t>Forward je termínový kontrakt, v rámci něhož se smluvní strany dobrovolně zavazují koupit či prodat stanovené množst</w:t>
      </w:r>
      <w:r w:rsidR="007D6A4B">
        <w:t>ví určitého podkladového aktiva</w:t>
      </w:r>
      <w:r>
        <w:t xml:space="preserve"> </w:t>
      </w:r>
      <w:r w:rsidR="007D6A4B">
        <w:t>ve sjednaném termínu v budoucnu</w:t>
      </w:r>
      <w:r>
        <w:t xml:space="preserve"> za předem určenou cenu. Sjednáním forwardu stranám vzniká povinnost splnit smluvní podmínky obchodu.</w:t>
      </w:r>
    </w:p>
    <w:p w:rsidR="008122F3" w:rsidRDefault="008122F3" w:rsidP="008122F3">
      <w:pPr>
        <w:spacing w:after="240" w:line="276" w:lineRule="auto"/>
        <w:jc w:val="both"/>
      </w:pPr>
      <w:r>
        <w:t>Forward</w:t>
      </w:r>
      <w:r w:rsidR="002126DD">
        <w:t>y jsou obchodovány mimoburzovně</w:t>
      </w:r>
      <w:r w:rsidR="006B0423">
        <w:t xml:space="preserve"> na OTC trzích. Obchody</w:t>
      </w:r>
      <w:r>
        <w:t xml:space="preserve"> vznikají na základě individuální dohody mezi stranami kontraktu</w:t>
      </w:r>
      <w:r w:rsidR="006B0423">
        <w:t>. Smluvní strany si mohou stanovit prakticky jakékoli podmínky obchodu, čímž je obchod dokonale přizpůsoben jejich potřebám.</w:t>
      </w:r>
      <w:r>
        <w:t xml:space="preserve"> Kvůli</w:t>
      </w:r>
      <w:r w:rsidR="00EA6BC8">
        <w:t> </w:t>
      </w:r>
      <w:r>
        <w:t>smluvní formě kontraktu však jednotlivým stranám hrozí riziko nedodržení závazků či</w:t>
      </w:r>
      <w:r w:rsidR="00EA6BC8">
        <w:t> </w:t>
      </w:r>
      <w:r>
        <w:t>porušení smluvních podmínek z pozice druhé strany. Toto</w:t>
      </w:r>
      <w:r w:rsidR="004634C7">
        <w:t xml:space="preserve"> tzv. úvěrové</w:t>
      </w:r>
      <w:r>
        <w:t xml:space="preserve"> riziko podstupují obě strany obchodu.</w:t>
      </w:r>
    </w:p>
    <w:p w:rsidR="008122F3" w:rsidRDefault="006B0423" w:rsidP="008122F3">
      <w:pPr>
        <w:spacing w:after="240" w:line="276" w:lineRule="auto"/>
        <w:jc w:val="both"/>
      </w:pPr>
      <w:r>
        <w:t xml:space="preserve">Vzhledem k tomu, že forward vzniká </w:t>
      </w:r>
      <w:r w:rsidR="008122F3">
        <w:t xml:space="preserve">jako dohoda mezi </w:t>
      </w:r>
      <w:r w:rsidR="008122F3" w:rsidRPr="00E6437C">
        <w:t>konkrétními dvěma stranami</w:t>
      </w:r>
      <w:r w:rsidR="008122F3">
        <w:t>, nelze</w:t>
      </w:r>
      <w:r w:rsidR="00EA6BC8">
        <w:t> </w:t>
      </w:r>
      <w:r>
        <w:t>jej</w:t>
      </w:r>
      <w:r w:rsidR="008122F3">
        <w:t xml:space="preserve"> převést na třetí osobu bez souhlasu obou smluvních stran</w:t>
      </w:r>
      <w:r>
        <w:t xml:space="preserve"> a prakticky jej</w:t>
      </w:r>
      <w:r w:rsidR="008122F3">
        <w:t xml:space="preserve"> tedy nelze obchodovat</w:t>
      </w:r>
      <w:r>
        <w:t>, což představuje značnou nevýhodu tohoto instrumentu</w:t>
      </w:r>
      <w:r w:rsidR="008122F3">
        <w:t>. Mimo nutnost souhlasu protistrany s převodem závazku plynoucího z obchodu na třetí osobu, je velmi obtížné vůbec najít jiného obchodníka, který by byl ochoten přijmout sjednané individualizované podmínky, k</w:t>
      </w:r>
      <w:r w:rsidR="004634C7">
        <w:t>teré si původní strany dohodly.</w:t>
      </w:r>
    </w:p>
    <w:p w:rsidR="008122F3" w:rsidRDefault="008122F3" w:rsidP="008122F3">
      <w:pPr>
        <w:spacing w:after="240" w:line="276" w:lineRule="auto"/>
        <w:jc w:val="both"/>
      </w:pPr>
      <w:r>
        <w:t>Z </w:t>
      </w:r>
      <w:r w:rsidR="006B0423">
        <w:t>uvedených</w:t>
      </w:r>
      <w:r>
        <w:t xml:space="preserve"> důvodů vyplývá, že termínový kontrakt typu forward je využíván především z důvodu zajištění. Spekulovat pomocí tohoto instrumentu je problematické</w:t>
      </w:r>
      <w:r w:rsidR="007D6A4B">
        <w:t>, trhy s forwardy nezajišťují dostatečnou likviditu</w:t>
      </w:r>
      <w:r>
        <w:t>.</w:t>
      </w:r>
      <w:r w:rsidRPr="00E6437C">
        <w:rPr>
          <w:color w:val="FF0000"/>
        </w:rPr>
        <w:t xml:space="preserve"> </w:t>
      </w:r>
      <w:r>
        <w:t>Jelikož jsou</w:t>
      </w:r>
      <w:r w:rsidR="00EA6BC8">
        <w:t> </w:t>
      </w:r>
      <w:r>
        <w:t>forwardy používány především pro hedging, nepřímo z tohoto vyplývá, že ve většině případů dochází u těchto kontraktů při splatnosti k fyzickému vypořádání. Subjekty obchodu si totiž kontraktem reálně zajišťují výhodné ceny pro své obchody a mají tedy opravdový zájem obchody vypořádat.</w:t>
      </w:r>
    </w:p>
    <w:p w:rsidR="008122F3" w:rsidRDefault="008122F3" w:rsidP="008122F3">
      <w:pPr>
        <w:spacing w:after="240" w:line="276" w:lineRule="auto"/>
        <w:jc w:val="both"/>
      </w:pPr>
      <w:r>
        <w:t>Strany obchodující forwardový kontrakt zaujímají jednu ze dvou pozic: dlouhou (long) nebo</w:t>
      </w:r>
      <w:r w:rsidR="00EA6BC8">
        <w:t> </w:t>
      </w:r>
      <w:r>
        <w:t xml:space="preserve">krátkou (short) pozici. V případě dlouhé pozice se jedná o nákup, </w:t>
      </w:r>
      <w:r w:rsidR="002126DD">
        <w:t>krátká pozice znamená</w:t>
      </w:r>
      <w:r>
        <w:t xml:space="preserve"> prodej kontraktu.</w:t>
      </w:r>
    </w:p>
    <w:p w:rsidR="008122F3" w:rsidRDefault="008122F3" w:rsidP="008122F3">
      <w:pPr>
        <w:spacing w:after="240" w:line="276" w:lineRule="auto"/>
        <w:jc w:val="both"/>
      </w:pPr>
      <w:r>
        <w:t>Ke dni splatnosti forwardu j</w:t>
      </w:r>
      <w:r w:rsidR="002126DD">
        <w:t>sou strany povinny se vypořádat. K</w:t>
      </w:r>
      <w:r>
        <w:t>upujícímu forward</w:t>
      </w:r>
      <w:r w:rsidR="005D06A5">
        <w:t>u</w:t>
      </w:r>
      <w:r>
        <w:t xml:space="preserve"> vzniká povinnost ve stanoveném termínu od</w:t>
      </w:r>
      <w:r w:rsidR="002126DD">
        <w:t>koupit dané podkladové aktivum,</w:t>
      </w:r>
      <w:r>
        <w:t xml:space="preserve"> prodávající forward</w:t>
      </w:r>
      <w:r w:rsidR="005D06A5">
        <w:t>u</w:t>
      </w:r>
      <w:r>
        <w:t xml:space="preserve"> má povin</w:t>
      </w:r>
      <w:r w:rsidR="002126DD">
        <w:t>nost toto aktivum kupujícímu</w:t>
      </w:r>
      <w:r>
        <w:t xml:space="preserve"> prod</w:t>
      </w:r>
      <w:r w:rsidR="00B04C02">
        <w:t xml:space="preserve">at. Případný zisk nebo ztráta </w:t>
      </w:r>
      <w:r>
        <w:t>se</w:t>
      </w:r>
      <w:r w:rsidR="00EA6BC8">
        <w:t> </w:t>
      </w:r>
      <w:r>
        <w:t xml:space="preserve">odvíjí od aktuální spotové ceny podkladového aktiva a termínové ceny stanovené stranami kontraktu. </w:t>
      </w:r>
    </w:p>
    <w:p w:rsidR="008122F3" w:rsidRDefault="006B0423" w:rsidP="008122F3">
      <w:pPr>
        <w:spacing w:after="240" w:line="276" w:lineRule="auto"/>
        <w:jc w:val="both"/>
      </w:pPr>
      <w:r>
        <w:t>K</w:t>
      </w:r>
      <w:r w:rsidR="008122F3">
        <w:t>upujícího forward</w:t>
      </w:r>
      <w:r w:rsidR="005D06A5">
        <w:t>u</w:t>
      </w:r>
      <w:r w:rsidR="008122F3">
        <w:t>, t</w:t>
      </w:r>
      <w:r>
        <w:t>edy strana</w:t>
      </w:r>
      <w:r w:rsidR="008122F3">
        <w:t xml:space="preserve"> v dlouhé pozici, realizuje zisk, pokud je spotová cena aktiva v čase vypořádání vyšší než stanovená cena forwardu. Ztrátu naopak realizuje, pokud spotová cena kle</w:t>
      </w:r>
      <w:r w:rsidR="00B04C02">
        <w:t xml:space="preserve">sne pod stanovenou hodnotu. Je </w:t>
      </w:r>
      <w:r w:rsidR="005D06A5">
        <w:t>zřejmé, že kupující forwardu</w:t>
      </w:r>
      <w:r w:rsidR="008122F3">
        <w:t xml:space="preserve"> se jeho pořízením chrání před potenciálním budoucím zvýšením ceny podkladového aktiva.</w:t>
      </w:r>
    </w:p>
    <w:p w:rsidR="008122F3" w:rsidRDefault="008122F3" w:rsidP="008122F3">
      <w:pPr>
        <w:spacing w:after="240" w:line="276" w:lineRule="auto"/>
        <w:jc w:val="both"/>
      </w:pPr>
      <w:r>
        <w:t>Prodávající forward je v opačné situaci. Chrání se před případným poklesem hodnoty po</w:t>
      </w:r>
      <w:r w:rsidR="006B0423">
        <w:t xml:space="preserve">dkladového aktiva. Realizuje </w:t>
      </w:r>
      <w:r>
        <w:t xml:space="preserve">zisk v případě, že </w:t>
      </w:r>
      <w:r w:rsidR="00B04C02">
        <w:t xml:space="preserve">je cena na promptním trhu </w:t>
      </w:r>
      <w:r>
        <w:t xml:space="preserve">nižší, </w:t>
      </w:r>
      <w:r>
        <w:lastRenderedPageBreak/>
        <w:t>než</w:t>
      </w:r>
      <w:r w:rsidR="00EA6BC8">
        <w:t> </w:t>
      </w:r>
      <w:r>
        <w:t>je</w:t>
      </w:r>
      <w:r w:rsidR="00EA6BC8">
        <w:t> </w:t>
      </w:r>
      <w:r>
        <w:t>stanovená termínová cena</w:t>
      </w:r>
      <w:r w:rsidR="00B04C02">
        <w:t>,</w:t>
      </w:r>
      <w:r>
        <w:t xml:space="preserve"> a naopak realizuje ztrátu, pokud reálná cena převýší fixní termínovou cenu. </w:t>
      </w:r>
    </w:p>
    <w:p w:rsidR="008122F3" w:rsidRDefault="008122F3" w:rsidP="008122F3">
      <w:pPr>
        <w:spacing w:after="240" w:line="276" w:lineRule="auto"/>
        <w:jc w:val="both"/>
        <w:rPr>
          <w:b/>
        </w:rPr>
      </w:pPr>
    </w:p>
    <w:p w:rsidR="008122F3" w:rsidRPr="00EC142D" w:rsidRDefault="008122F3" w:rsidP="00C27CB0">
      <w:pPr>
        <w:pStyle w:val="Nadpis2"/>
      </w:pPr>
      <w:bookmarkStart w:id="27" w:name="_Toc353550125"/>
      <w:bookmarkStart w:id="28" w:name="_Toc354393051"/>
      <w:r>
        <w:t>Úrokový forward</w:t>
      </w:r>
      <w:bookmarkEnd w:id="27"/>
      <w:bookmarkEnd w:id="28"/>
    </w:p>
    <w:p w:rsidR="008122F3" w:rsidRDefault="008122F3" w:rsidP="008122F3">
      <w:pPr>
        <w:spacing w:after="240" w:line="276" w:lineRule="auto"/>
        <w:jc w:val="both"/>
      </w:pPr>
      <w:r>
        <w:t>Dle Jílka</w:t>
      </w:r>
      <w:r w:rsidR="00656FAF">
        <w:t xml:space="preserve"> (2010)</w:t>
      </w:r>
      <w:r>
        <w:rPr>
          <w:rStyle w:val="Znakapoznpodarou"/>
          <w:rFonts w:eastAsiaTheme="majorEastAsia"/>
        </w:rPr>
        <w:footnoteReference w:id="34"/>
      </w:r>
      <w:r>
        <w:t xml:space="preserve"> </w:t>
      </w:r>
      <w:r w:rsidR="006B0423">
        <w:t>se</w:t>
      </w:r>
      <w:r>
        <w:t xml:space="preserve"> úrokové forwardy</w:t>
      </w:r>
      <w:r w:rsidR="006B0423">
        <w:t xml:space="preserve"> člení do tří skupin. Konkrétně se jedná o </w:t>
      </w:r>
      <w:r>
        <w:t>dohodu o</w:t>
      </w:r>
      <w:r w:rsidR="006B0423">
        <w:t> </w:t>
      </w:r>
      <w:r>
        <w:t>forwardové úrokové míře, forwardový termínový vklad, úvěr či půjčku hotovosti a</w:t>
      </w:r>
      <w:r w:rsidR="006B0423">
        <w:t> </w:t>
      </w:r>
      <w:r>
        <w:t>forwardovou koupi či prodej dluhového cenného papíru či pohledávky. V této práci se</w:t>
      </w:r>
      <w:r w:rsidR="006B0423">
        <w:t> </w:t>
      </w:r>
      <w:r>
        <w:t>zaměříme pouze na nejvýznamnější z těchto kontraktů, a tím je dohoda o forwardové úrokové míře.</w:t>
      </w:r>
    </w:p>
    <w:p w:rsidR="00656FAF" w:rsidRPr="00DE3CCA" w:rsidRDefault="00656FAF" w:rsidP="008122F3">
      <w:pPr>
        <w:spacing w:after="240" w:line="276" w:lineRule="auto"/>
        <w:jc w:val="both"/>
      </w:pPr>
    </w:p>
    <w:p w:rsidR="008122F3" w:rsidRDefault="008122F3" w:rsidP="008122F3">
      <w:pPr>
        <w:pStyle w:val="Nadpis3"/>
        <w:suppressAutoHyphens w:val="0"/>
      </w:pPr>
      <w:bookmarkStart w:id="29" w:name="_Toc353550126"/>
      <w:bookmarkStart w:id="30" w:name="_Toc354393052"/>
      <w:r>
        <w:t>Dohoda o forwardové úrokové míře</w:t>
      </w:r>
      <w:bookmarkEnd w:id="29"/>
      <w:bookmarkEnd w:id="30"/>
    </w:p>
    <w:p w:rsidR="008122F3" w:rsidRDefault="00656FAF" w:rsidP="008122F3">
      <w:pPr>
        <w:spacing w:after="240" w:line="276" w:lineRule="auto"/>
        <w:jc w:val="both"/>
      </w:pPr>
      <w:r>
        <w:t>Dohoda o forwardové úrokové míře</w:t>
      </w:r>
      <w:r w:rsidR="008122F3">
        <w:t xml:space="preserve"> neboli </w:t>
      </w:r>
      <w:r w:rsidR="008122F3" w:rsidRPr="00BE5DC5">
        <w:rPr>
          <w:i/>
        </w:rPr>
        <w:t>Forward rate agreement</w:t>
      </w:r>
      <w:r w:rsidR="008122F3">
        <w:t xml:space="preserve"> či FRA</w:t>
      </w:r>
      <w:r>
        <w:t xml:space="preserve"> (dále </w:t>
      </w:r>
      <w:r w:rsidR="00CE767D">
        <w:t xml:space="preserve">jen </w:t>
      </w:r>
      <w:r>
        <w:t>FRA)</w:t>
      </w:r>
      <w:r w:rsidR="008122F3">
        <w:t>, j</w:t>
      </w:r>
      <w:r>
        <w:t>e typem forwardu, díky kterému</w:t>
      </w:r>
      <w:r w:rsidR="008122F3">
        <w:t xml:space="preserve"> </w:t>
      </w:r>
      <w:r>
        <w:t xml:space="preserve">si </w:t>
      </w:r>
      <w:r w:rsidR="008122F3">
        <w:t>obchodníci mohou do budoucna zafixovat úrokovou míru. Podkladovým aktivem je tedy úroková sazba. Fixací tak mohou obchodníci s forwardy zajišťovat jak své závazky, tedy úrokové sazby svých úvěrů, tak i své pohledávky, úrokové sazby vkladů. Operací s FRA tak obchodníci zajišťují své úrokové riziko neboli riziko ztráty ze změn cen nástrojů citlivých na úrokové míry.</w:t>
      </w:r>
    </w:p>
    <w:p w:rsidR="008122F3" w:rsidRPr="00656FAF" w:rsidRDefault="008122F3" w:rsidP="00656FAF">
      <w:pPr>
        <w:spacing w:after="240" w:line="276" w:lineRule="auto"/>
        <w:jc w:val="both"/>
      </w:pPr>
      <w:r w:rsidRPr="00AC32C8">
        <w:t xml:space="preserve">Při </w:t>
      </w:r>
      <w:r w:rsidRPr="00656FAF">
        <w:t>obchodování FRA dochází ve smlouvě o FRA v den sjednání kontraktu k</w:t>
      </w:r>
      <w:r w:rsidR="00656FAF" w:rsidRPr="00656FAF">
        <w:t> </w:t>
      </w:r>
      <w:r w:rsidRPr="00656FAF">
        <w:t>určení</w:t>
      </w:r>
      <w:r w:rsidR="00656FAF" w:rsidRPr="00656FAF">
        <w:t>:</w:t>
      </w:r>
      <w:r w:rsidRPr="00656FAF">
        <w:t xml:space="preserve"> </w:t>
      </w:r>
      <w:r w:rsidR="00B04C02">
        <w:t xml:space="preserve">(i) </w:t>
      </w:r>
      <w:r w:rsidRPr="00656FAF">
        <w:t xml:space="preserve">stran sjednávajících kontrakt, </w:t>
      </w:r>
      <w:r w:rsidR="00B04C02">
        <w:t xml:space="preserve">(ii) </w:t>
      </w:r>
      <w:r w:rsidRPr="00656FAF">
        <w:t xml:space="preserve">fixní úrokové míry (takzvaná FRA-sazba), </w:t>
      </w:r>
      <w:r w:rsidR="00B04C02">
        <w:t xml:space="preserve">(iii) </w:t>
      </w:r>
      <w:r w:rsidRPr="00656FAF">
        <w:t xml:space="preserve">délky úrokovacího období, </w:t>
      </w:r>
      <w:r w:rsidR="00B04C02">
        <w:t xml:space="preserve">(iv) </w:t>
      </w:r>
      <w:r w:rsidRPr="00656FAF">
        <w:t xml:space="preserve">termínu začátku úrokovacího období, </w:t>
      </w:r>
      <w:r w:rsidR="00B04C02">
        <w:t xml:space="preserve">(v) </w:t>
      </w:r>
      <w:r w:rsidRPr="00656FAF">
        <w:t xml:space="preserve">nominální částky, ze které se určuje výše plnění, </w:t>
      </w:r>
      <w:r w:rsidR="00B04C02">
        <w:t xml:space="preserve">(vi) </w:t>
      </w:r>
      <w:r w:rsidRPr="00656FAF">
        <w:t xml:space="preserve">měny, ve které je FRA sjednáno, </w:t>
      </w:r>
      <w:r w:rsidR="00B04C02">
        <w:t xml:space="preserve">(vii) </w:t>
      </w:r>
      <w:r w:rsidRPr="00656FAF">
        <w:t xml:space="preserve">referenční úrokové sazby, neboli budoucí spotové úrokové míry, a </w:t>
      </w:r>
      <w:r w:rsidR="00B04C02">
        <w:t xml:space="preserve">(viii) </w:t>
      </w:r>
      <w:r w:rsidRPr="00656FAF">
        <w:t>term</w:t>
      </w:r>
      <w:r w:rsidR="00B04C02">
        <w:t>ínu, ve kterém plnění proběhne.</w:t>
      </w:r>
    </w:p>
    <w:p w:rsidR="008122F3" w:rsidRDefault="008122F3" w:rsidP="008122F3">
      <w:pPr>
        <w:spacing w:after="240" w:line="276" w:lineRule="auto"/>
        <w:jc w:val="both"/>
      </w:pPr>
      <w:r>
        <w:t xml:space="preserve">I přesto, že </w:t>
      </w:r>
      <w:r w:rsidR="00656FAF">
        <w:t xml:space="preserve">je </w:t>
      </w:r>
      <w:r>
        <w:t>te</w:t>
      </w:r>
      <w:r w:rsidR="00656FAF">
        <w:t>rmínový kontrakt typu forward</w:t>
      </w:r>
      <w:r>
        <w:t xml:space="preserve"> založen na volné smluvní dohodě mezi</w:t>
      </w:r>
      <w:r w:rsidR="00EA6BC8">
        <w:t> </w:t>
      </w:r>
      <w:r>
        <w:t xml:space="preserve">stranami kontraktu, v praxi se převážně nepoužívají </w:t>
      </w:r>
      <w:r w:rsidR="00656FAF">
        <w:t>zcela</w:t>
      </w:r>
      <w:r w:rsidR="00CE767D">
        <w:t xml:space="preserve"> individualizované kontrakty. Také</w:t>
      </w:r>
      <w:r>
        <w:t> u</w:t>
      </w:r>
      <w:r w:rsidR="00CE767D">
        <w:t> </w:t>
      </w:r>
      <w:r>
        <w:t>forwardů tedy dochází k určité standardizaci</w:t>
      </w:r>
      <w:r w:rsidR="0013765B">
        <w:t>.</w:t>
      </w:r>
      <w:r w:rsidR="00CE767D" w:rsidRPr="00CE767D">
        <w:t xml:space="preserve"> </w:t>
      </w:r>
      <w:r w:rsidR="00CE767D" w:rsidRPr="0013765B">
        <w:t xml:space="preserve">Ke standardizaci </w:t>
      </w:r>
      <w:r w:rsidR="00CE767D">
        <w:t xml:space="preserve">FRA </w:t>
      </w:r>
      <w:r w:rsidR="00CE767D" w:rsidRPr="0013765B">
        <w:t xml:space="preserve">se používá podkladů označovaných jako </w:t>
      </w:r>
      <w:r w:rsidR="00CE767D" w:rsidRPr="00CE767D">
        <w:rPr>
          <w:i/>
        </w:rPr>
        <w:t>„FRABBA terms“</w:t>
      </w:r>
      <w:r w:rsidR="00CE767D" w:rsidRPr="0013765B">
        <w:t xml:space="preserve"> vypracovaných organizací </w:t>
      </w:r>
      <w:r w:rsidR="00CE767D" w:rsidRPr="00CE767D">
        <w:rPr>
          <w:i/>
        </w:rPr>
        <w:t>British Bankers Association</w:t>
      </w:r>
      <w:r w:rsidR="00CE767D" w:rsidRPr="0013765B">
        <w:t>.</w:t>
      </w:r>
      <w:r>
        <w:t xml:space="preserve"> Je tomu tak z toho důvodu, aby bylo mo</w:t>
      </w:r>
      <w:r w:rsidR="0013765B">
        <w:t>žné s </w:t>
      </w:r>
      <w:r w:rsidR="00BE5DC5">
        <w:t>FRA</w:t>
      </w:r>
      <w:r w:rsidR="0013765B">
        <w:t xml:space="preserve"> lépe obchodovat, cílem je</w:t>
      </w:r>
      <w:r w:rsidR="00EA6BC8">
        <w:t> </w:t>
      </w:r>
      <w:r w:rsidR="0013765B">
        <w:t>tedy</w:t>
      </w:r>
      <w:r>
        <w:t xml:space="preserve"> zvýšení jejich likvidity. Lehce standardizované kontrakty typu forward jsou navíc oproti těm plně individualizovaným levnější a obecně je jednodušší je sjednat, </w:t>
      </w:r>
      <w:r w:rsidR="0013765B">
        <w:t xml:space="preserve">respektive </w:t>
      </w:r>
      <w:r>
        <w:t>najít protistranu obchodu.</w:t>
      </w:r>
      <w:r>
        <w:rPr>
          <w:rStyle w:val="Znakapoznpodarou"/>
          <w:rFonts w:eastAsiaTheme="majorEastAsia"/>
        </w:rPr>
        <w:footnoteReference w:id="35"/>
      </w:r>
    </w:p>
    <w:p w:rsidR="00B04C02" w:rsidRDefault="00B04C02">
      <w:pPr>
        <w:suppressAutoHyphens w:val="0"/>
        <w:spacing w:after="200" w:line="276" w:lineRule="auto"/>
      </w:pPr>
      <w:r>
        <w:br w:type="page"/>
      </w:r>
    </w:p>
    <w:p w:rsidR="008122F3" w:rsidRDefault="0013765B" w:rsidP="0013765B">
      <w:pPr>
        <w:spacing w:after="240" w:line="276" w:lineRule="auto"/>
        <w:jc w:val="both"/>
        <w:rPr>
          <w:u w:val="single"/>
        </w:rPr>
      </w:pPr>
      <w:r>
        <w:lastRenderedPageBreak/>
        <w:t>V následující</w:t>
      </w:r>
      <w:r w:rsidR="00B42190">
        <w:t>m</w:t>
      </w:r>
      <w:r>
        <w:t xml:space="preserve"> textu charakterizujeme </w:t>
      </w:r>
      <w:r w:rsidR="00581380">
        <w:t>sjednávané údaje forwardu, které</w:t>
      </w:r>
      <w:r w:rsidR="00176F09">
        <w:t xml:space="preserve"> jsou pro FRA specifické:</w:t>
      </w:r>
    </w:p>
    <w:p w:rsidR="008122F3" w:rsidRPr="00B04C02" w:rsidRDefault="008122F3" w:rsidP="008122F3">
      <w:pPr>
        <w:pStyle w:val="Odstavecseseznamem"/>
        <w:numPr>
          <w:ilvl w:val="0"/>
          <w:numId w:val="6"/>
        </w:numPr>
        <w:spacing w:after="240"/>
        <w:jc w:val="both"/>
        <w:rPr>
          <w:rFonts w:ascii="Times New Roman" w:hAnsi="Times New Roman" w:cs="Times New Roman"/>
          <w:sz w:val="24"/>
          <w:szCs w:val="24"/>
        </w:rPr>
      </w:pPr>
      <w:r w:rsidRPr="00B04C02">
        <w:rPr>
          <w:rFonts w:ascii="Times New Roman" w:hAnsi="Times New Roman" w:cs="Times New Roman"/>
          <w:sz w:val="24"/>
          <w:szCs w:val="24"/>
        </w:rPr>
        <w:t xml:space="preserve">Úrokovací období </w:t>
      </w:r>
    </w:p>
    <w:p w:rsidR="008122F3" w:rsidRDefault="00215A60" w:rsidP="008122F3">
      <w:pPr>
        <w:spacing w:after="240" w:line="276" w:lineRule="auto"/>
        <w:jc w:val="both"/>
      </w:pPr>
      <w:r>
        <w:t>Úrokovací</w:t>
      </w:r>
      <w:r w:rsidR="008122F3" w:rsidRPr="00AC32C8">
        <w:t xml:space="preserve"> období označujeme </w:t>
      </w:r>
      <w:r w:rsidR="008122F3">
        <w:t>také jako FRA-</w:t>
      </w:r>
      <w:r w:rsidR="008122F3" w:rsidRPr="00AC32C8">
        <w:t xml:space="preserve">období. </w:t>
      </w:r>
      <w:r w:rsidR="008122F3">
        <w:t xml:space="preserve">V praxi dochází ke sjednávání </w:t>
      </w:r>
      <w:r w:rsidR="00BE5DC5">
        <w:t>FRA-období, </w:t>
      </w:r>
      <w:r w:rsidR="008122F3">
        <w:t xml:space="preserve">jehož </w:t>
      </w:r>
      <w:r w:rsidR="00BE5DC5">
        <w:t>délka nepřevyšuje</w:t>
      </w:r>
      <w:r w:rsidR="008122F3">
        <w:t xml:space="preserve"> 24 měsíců ode dne sjednání kontraktu FRA. Nejlikvidnější</w:t>
      </w:r>
      <w:r w:rsidR="00BE5DC5">
        <w:t>mi FRA kontrakty bývají</w:t>
      </w:r>
      <w:r w:rsidR="008122F3">
        <w:t xml:space="preserve"> kontrakt</w:t>
      </w:r>
      <w:r w:rsidR="00BE5DC5">
        <w:t>y</w:t>
      </w:r>
      <w:r w:rsidR="008122F3">
        <w:t xml:space="preserve"> s dobou trvání do jednoho roku.</w:t>
      </w:r>
    </w:p>
    <w:p w:rsidR="008122F3" w:rsidRDefault="008122F3" w:rsidP="008122F3">
      <w:pPr>
        <w:spacing w:after="240" w:line="276" w:lineRule="auto"/>
        <w:jc w:val="both"/>
      </w:pPr>
      <w:r>
        <w:t>FRA-období se určuje dvěma lhůtami, které jsou zpravidla udávány v měsících. První z nich určuje dobu mezi sjednáním forwardového kontraktu a začátkem FRA-období, druhá lhůta se</w:t>
      </w:r>
      <w:r w:rsidR="00EA6BC8">
        <w:t> </w:t>
      </w:r>
      <w:r>
        <w:t xml:space="preserve">počítá od sjednání kontraktu po konec FRA-období. FRA-období tedy může být například stanoveno jako takzvané „tři na šest“ neboli 3x6. Od podepsání smlouvy do začátku </w:t>
      </w:r>
      <w:r w:rsidR="00BE5DC5">
        <w:t xml:space="preserve">úrokovacího </w:t>
      </w:r>
      <w:r>
        <w:t xml:space="preserve">období tak podle zmíněného příkladu uplynou tři měsíce, a od podepsání smlouvy do konce úrokovacího období uplyne měsíců šest. Samotné FRA-období je tedy dlouhé tři měsíce. </w:t>
      </w:r>
      <w:r w:rsidRPr="00215A60">
        <w:t>V praxi se nejčastěji obchodují FRA kontrakty s FRA-obdobím 3x6, 6x9 a</w:t>
      </w:r>
      <w:r w:rsidR="00EA6BC8">
        <w:t> </w:t>
      </w:r>
      <w:r w:rsidRPr="00215A60">
        <w:t>6x12.</w:t>
      </w:r>
      <w:r w:rsidRPr="00215A60">
        <w:rPr>
          <w:rStyle w:val="Znakapoznpodarou"/>
          <w:rFonts w:eastAsiaTheme="majorEastAsia"/>
        </w:rPr>
        <w:footnoteReference w:id="36"/>
      </w:r>
    </w:p>
    <w:p w:rsidR="008122F3" w:rsidRPr="00B04C02" w:rsidRDefault="008122F3" w:rsidP="008122F3">
      <w:pPr>
        <w:pStyle w:val="Odstavecseseznamem"/>
        <w:numPr>
          <w:ilvl w:val="0"/>
          <w:numId w:val="6"/>
        </w:numPr>
        <w:spacing w:after="240"/>
        <w:jc w:val="both"/>
        <w:rPr>
          <w:rFonts w:ascii="Times New Roman" w:hAnsi="Times New Roman" w:cs="Times New Roman"/>
          <w:sz w:val="24"/>
          <w:szCs w:val="24"/>
        </w:rPr>
      </w:pPr>
      <w:r w:rsidRPr="00B04C02">
        <w:rPr>
          <w:rFonts w:ascii="Times New Roman" w:hAnsi="Times New Roman" w:cs="Times New Roman"/>
          <w:sz w:val="24"/>
          <w:szCs w:val="24"/>
        </w:rPr>
        <w:t>Referenční úroková sazba</w:t>
      </w:r>
    </w:p>
    <w:p w:rsidR="008122F3" w:rsidRDefault="008122F3" w:rsidP="008122F3">
      <w:pPr>
        <w:spacing w:after="240" w:line="276" w:lineRule="auto"/>
        <w:jc w:val="both"/>
      </w:pPr>
      <w:r>
        <w:t xml:space="preserve">Referenční úroková sazba slouží k výpočtu plnění </w:t>
      </w:r>
      <w:r w:rsidR="00215A60">
        <w:t xml:space="preserve">plynoucího </w:t>
      </w:r>
      <w:r>
        <w:t xml:space="preserve">z forwardového kontraktu. </w:t>
      </w:r>
      <w:r w:rsidR="0078359B">
        <w:t>S</w:t>
      </w:r>
      <w:r w:rsidRPr="009342D2">
        <w:t xml:space="preserve">azba </w:t>
      </w:r>
      <w:r>
        <w:t xml:space="preserve">musí </w:t>
      </w:r>
      <w:r w:rsidRPr="009342D2">
        <w:t>pocházet z veřejně přístupného zdroje</w:t>
      </w:r>
      <w:r w:rsidR="00F9423F">
        <w:t>, strany obchodu musí mít tedy možnost ji</w:t>
      </w:r>
      <w:r w:rsidR="00EA6BC8">
        <w:t> </w:t>
      </w:r>
      <w:r w:rsidR="00F9423F">
        <w:t>ověřit, nesmí však být schopné ji ovlivnit.</w:t>
      </w:r>
      <w:r>
        <w:t xml:space="preserve"> </w:t>
      </w:r>
      <w:r w:rsidR="00F9423F">
        <w:t>Při sjednání kontraktu se volí taková referenční sazba, která vyjadřuje úrov</w:t>
      </w:r>
      <w:r>
        <w:t>eň tržních úrokových sa</w:t>
      </w:r>
      <w:r w:rsidR="00F9423F">
        <w:t>zeb vzhledem k délce FRA-období. Z</w:t>
      </w:r>
      <w:r>
        <w:t>působ stanovení referenční úrokové sazby musí být určen předem</w:t>
      </w:r>
      <w:r w:rsidR="00F9423F">
        <w:t>.</w:t>
      </w:r>
      <w:r>
        <w:rPr>
          <w:rStyle w:val="Znakapoznpodarou"/>
          <w:rFonts w:eastAsiaTheme="majorEastAsia"/>
        </w:rPr>
        <w:footnoteReference w:id="37"/>
      </w:r>
      <w:r w:rsidRPr="009342D2">
        <w:t xml:space="preserve"> </w:t>
      </w:r>
      <w:r w:rsidR="00F20DC9">
        <w:t>Nejčastěji se</w:t>
      </w:r>
      <w:r w:rsidR="000C2502">
        <w:t> </w:t>
      </w:r>
      <w:r w:rsidR="00F20DC9">
        <w:t>jako</w:t>
      </w:r>
      <w:r w:rsidR="000C2502">
        <w:t> </w:t>
      </w:r>
      <w:r w:rsidR="00F20DC9">
        <w:t>referenční úroková sazba používá mezibankovní úroková sazba LIBOR</w:t>
      </w:r>
      <w:r w:rsidR="00F20DC9">
        <w:rPr>
          <w:rStyle w:val="Znakapoznpodarou"/>
          <w:rFonts w:eastAsiaTheme="majorEastAsia"/>
        </w:rPr>
        <w:footnoteReference w:id="38"/>
      </w:r>
      <w:r w:rsidR="00F20DC9">
        <w:t>. Pro FRA v českých korunách je její obdobou PRIBOR</w:t>
      </w:r>
      <w:r w:rsidR="00F20DC9">
        <w:rPr>
          <w:rStyle w:val="Znakapoznpodarou"/>
          <w:rFonts w:eastAsiaTheme="majorEastAsia"/>
        </w:rPr>
        <w:footnoteReference w:id="39"/>
      </w:r>
      <w:r w:rsidR="00F20DC9">
        <w:t>.</w:t>
      </w:r>
    </w:p>
    <w:p w:rsidR="008122F3" w:rsidRDefault="00F20DC9" w:rsidP="008122F3">
      <w:pPr>
        <w:spacing w:after="240" w:line="276" w:lineRule="auto"/>
        <w:jc w:val="both"/>
      </w:pPr>
      <w:r>
        <w:t>Hodnotou referenční úrokové sazby je</w:t>
      </w:r>
      <w:r w:rsidR="00BE5DC5">
        <w:t xml:space="preserve"> její aktuální spotová hodnoa</w:t>
      </w:r>
      <w:r w:rsidR="008122F3">
        <w:t xml:space="preserve">, kterou </w:t>
      </w:r>
      <w:r w:rsidR="00BE5DC5">
        <w:t>strany zjišťují</w:t>
      </w:r>
      <w:r w:rsidR="008122F3">
        <w:t xml:space="preserve"> v předem stanovený rozhodný den. Tento den se stanoví blízko začátku úrokovacího období. Dle zavedených zvyklostí dochází k fixaci referenční úrokové s</w:t>
      </w:r>
      <w:r>
        <w:t>azby dva dny před začátkem FRA-</w:t>
      </w:r>
      <w:r w:rsidR="008122F3">
        <w:t>období.</w:t>
      </w:r>
      <w:r w:rsidR="008122F3">
        <w:rPr>
          <w:rStyle w:val="Znakapoznpodarou"/>
          <w:rFonts w:eastAsiaTheme="majorEastAsia"/>
        </w:rPr>
        <w:footnoteReference w:id="40"/>
      </w:r>
      <w:r>
        <w:t xml:space="preserve"> </w:t>
      </w:r>
      <w:r w:rsidR="008122F3">
        <w:t>Po provedení fixace referenční úrokové míry dochází k</w:t>
      </w:r>
      <w:r>
        <w:t xml:space="preserve"> jejímu porovnání </w:t>
      </w:r>
      <w:r w:rsidR="008122F3">
        <w:t>s předem</w:t>
      </w:r>
      <w:r w:rsidR="000C2502">
        <w:t xml:space="preserve"> stanovenou hodnotou FRA-sazby.</w:t>
      </w:r>
    </w:p>
    <w:p w:rsidR="008122F3" w:rsidRPr="00B04C02" w:rsidRDefault="008122F3" w:rsidP="008122F3">
      <w:pPr>
        <w:pStyle w:val="Odstavecseseznamem"/>
        <w:numPr>
          <w:ilvl w:val="0"/>
          <w:numId w:val="6"/>
        </w:numPr>
        <w:spacing w:before="240" w:after="240"/>
        <w:jc w:val="both"/>
        <w:rPr>
          <w:rFonts w:ascii="Times New Roman" w:hAnsi="Times New Roman" w:cs="Times New Roman"/>
          <w:sz w:val="24"/>
          <w:szCs w:val="24"/>
        </w:rPr>
      </w:pPr>
      <w:r w:rsidRPr="00B04C02">
        <w:rPr>
          <w:rFonts w:ascii="Times New Roman" w:hAnsi="Times New Roman" w:cs="Times New Roman"/>
          <w:sz w:val="24"/>
          <w:szCs w:val="24"/>
        </w:rPr>
        <w:t>FRA-sazba</w:t>
      </w:r>
    </w:p>
    <w:p w:rsidR="008122F3" w:rsidRDefault="000342B4" w:rsidP="008122F3">
      <w:pPr>
        <w:spacing w:after="240" w:line="276" w:lineRule="auto"/>
        <w:jc w:val="both"/>
      </w:pPr>
      <w:r>
        <w:t xml:space="preserve">Fixní FRA-sazba se stanoví podle odhadu budoucí spotové úrokové míry. </w:t>
      </w:r>
      <w:r w:rsidR="008122F3">
        <w:t xml:space="preserve">Stanovení této sazby vychází z existence spotového a termínového trhu úrokových měr. </w:t>
      </w:r>
      <w:r w:rsidR="008122F3" w:rsidRPr="00AD1B27">
        <w:t xml:space="preserve">Spotovým trhem úrokových sazeb </w:t>
      </w:r>
      <w:r w:rsidR="00BE5DC5">
        <w:t>jsou chápány</w:t>
      </w:r>
      <w:r w:rsidR="008122F3" w:rsidRPr="00AD1B27">
        <w:t xml:space="preserve"> sazby pro termínové </w:t>
      </w:r>
      <w:r>
        <w:t>vklady komerčních bank. Sice se</w:t>
      </w:r>
      <w:r w:rsidR="008122F3" w:rsidRPr="00AD1B27">
        <w:t xml:space="preserve"> jedná </w:t>
      </w:r>
      <w:r w:rsidR="008122F3" w:rsidRPr="00AD1B27">
        <w:lastRenderedPageBreak/>
        <w:t>o</w:t>
      </w:r>
      <w:r w:rsidR="00EA6BC8">
        <w:t> </w:t>
      </w:r>
      <w:r w:rsidR="008122F3" w:rsidRPr="00AD1B27">
        <w:t xml:space="preserve">termínový vklad, </w:t>
      </w:r>
      <w:r>
        <w:t>význam slova je však jiný. Operace na termínovém vkladu se uskutečňují</w:t>
      </w:r>
      <w:r w:rsidR="008122F3" w:rsidRPr="00AD1B27">
        <w:t xml:space="preserve"> nyní, nikoli až za stanovenou dobu.</w:t>
      </w:r>
      <w:r w:rsidR="008122F3" w:rsidRPr="00AD1B27">
        <w:rPr>
          <w:rStyle w:val="Znakapoznpodarou"/>
          <w:rFonts w:eastAsiaTheme="majorEastAsia"/>
        </w:rPr>
        <w:footnoteReference w:id="41"/>
      </w:r>
      <w:r w:rsidR="008122F3" w:rsidRPr="00AD1B27">
        <w:t xml:space="preserve"> </w:t>
      </w:r>
    </w:p>
    <w:p w:rsidR="008122F3" w:rsidRDefault="008122F3" w:rsidP="008122F3">
      <w:pPr>
        <w:spacing w:after="240" w:line="276" w:lineRule="auto"/>
        <w:jc w:val="both"/>
      </w:pPr>
      <w:r w:rsidRPr="00AD1B27">
        <w:t xml:space="preserve">Pravidlem </w:t>
      </w:r>
      <w:r w:rsidR="00C0474A">
        <w:t xml:space="preserve">pro stanovení budoucí úrokové sazby </w:t>
      </w:r>
      <w:r w:rsidRPr="00AD1B27">
        <w:t xml:space="preserve">je dodržení takzvané bezrizikové arbitráže. </w:t>
      </w:r>
      <w:r>
        <w:t>To znamená, že úrokové sazby se na promptním i termínovém trhu musí rovnat. Pokud by</w:t>
      </w:r>
      <w:r w:rsidR="000C2502">
        <w:t> </w:t>
      </w:r>
      <w:r>
        <w:t>se</w:t>
      </w:r>
      <w:r w:rsidR="00EA6BC8">
        <w:t> </w:t>
      </w:r>
      <w:r>
        <w:t>tak nestalo, docházelo by k bezrizikovému zbohatnutí investorů díky levnému nákupu na</w:t>
      </w:r>
      <w:r w:rsidR="00EA6BC8">
        <w:t> </w:t>
      </w:r>
      <w:r>
        <w:t xml:space="preserve">jednom z trhů a drahým prodejem na druhém trhu. </w:t>
      </w:r>
      <w:r w:rsidRPr="00AD1B27">
        <w:t xml:space="preserve">Proto </w:t>
      </w:r>
      <w:r w:rsidR="00BE5DC5">
        <w:t>musí platit</w:t>
      </w:r>
      <w:r w:rsidRPr="00AD1B27">
        <w:t xml:space="preserve">, že za stanovenou dobu </w:t>
      </w:r>
      <w:r w:rsidR="00BE5DC5">
        <w:t xml:space="preserve">lze </w:t>
      </w:r>
      <w:r w:rsidRPr="00AD1B27">
        <w:t xml:space="preserve">na úrocích získat, respektive zaplatit stejnou částku, nehledě na to, </w:t>
      </w:r>
      <w:r w:rsidR="00C00AAC">
        <w:t xml:space="preserve">zda </w:t>
      </w:r>
      <w:r w:rsidR="00BE5DC5">
        <w:t>se toho docílí</w:t>
      </w:r>
      <w:r w:rsidRPr="00AD1B27">
        <w:t xml:space="preserve"> pomocí promptní či termínové úrokové míry, nebo jejich kombinací.</w:t>
      </w:r>
      <w:r>
        <w:t xml:space="preserve"> To znamená, že </w:t>
      </w:r>
      <w:r w:rsidR="00BE5DC5">
        <w:t>je třeba</w:t>
      </w:r>
      <w:r>
        <w:t xml:space="preserve"> docílit</w:t>
      </w:r>
      <w:r w:rsidR="00BE5DC5">
        <w:t xml:space="preserve"> stejného výsledku, pokud se určitý peněžní obnos úročí</w:t>
      </w:r>
      <w:r>
        <w:t xml:space="preserve"> spotovou úrokovou mír</w:t>
      </w:r>
      <w:r w:rsidR="00C00AAC">
        <w:t>o</w:t>
      </w:r>
      <w:r w:rsidR="00BE5DC5">
        <w:t>u na</w:t>
      </w:r>
      <w:r w:rsidR="00EA6BC8">
        <w:t> </w:t>
      </w:r>
      <w:r w:rsidR="00BE5DC5">
        <w:t>tři roky nebo pokud se bude</w:t>
      </w:r>
      <w:r>
        <w:t xml:space="preserve"> obnos úročit spotovou úrokovou mírou na dva roky a zbylý jeden rok </w:t>
      </w:r>
      <w:r w:rsidR="00BE5DC5">
        <w:t>se bude</w:t>
      </w:r>
      <w:r>
        <w:t xml:space="preserve"> úročit budoucí úrokovou mírou na jeden rok, se začátkem za dva roky. Tento případ je názorně ukázán na následující rovnici.</w:t>
      </w:r>
    </w:p>
    <w:p w:rsidR="008122F3" w:rsidRDefault="00FA567C" w:rsidP="008122F3">
      <w:pPr>
        <w:spacing w:after="240" w:line="276" w:lineRule="auto"/>
        <w:jc w:val="both"/>
        <w:rPr>
          <w:rFonts w:eastAsiaTheme="minorEastAsia"/>
        </w:rPr>
      </w:pPr>
      <m:oMathPara>
        <m:oMathParaPr>
          <m:jc m:val="center"/>
        </m:oMathParaPr>
        <m:oMath>
          <m:sSup>
            <m:sSupPr>
              <m:ctrlPr>
                <w:rPr>
                  <w:rFonts w:ascii="Cambria Math" w:hAnsi="Cambria Math"/>
                  <w:i/>
                </w:rPr>
              </m:ctrlPr>
            </m:sSupPr>
            <m:e>
              <m:r>
                <w:rPr>
                  <w:rFonts w:ascii="Cambria Math" w:hAnsi="Cambria Math"/>
                </w:rPr>
                <m:t>(1+</m:t>
              </m:r>
              <m:sSub>
                <m:sSubPr>
                  <m:ctrlPr>
                    <w:rPr>
                      <w:rFonts w:ascii="Cambria Math" w:hAnsi="Cambria Math"/>
                      <w:i/>
                    </w:rPr>
                  </m:ctrlPr>
                </m:sSubPr>
                <m:e>
                  <m:r>
                    <w:rPr>
                      <w:rFonts w:ascii="Cambria Math" w:hAnsi="Cambria Math"/>
                    </w:rPr>
                    <m:t>i</m:t>
                  </m:r>
                </m:e>
                <m:sub>
                  <m:r>
                    <w:rPr>
                      <w:rFonts w:ascii="Cambria Math" w:hAnsi="Cambria Math"/>
                    </w:rPr>
                    <m:t>0,3</m:t>
                  </m:r>
                </m:sub>
              </m:sSub>
              <m:r>
                <w:rPr>
                  <w:rFonts w:ascii="Cambria Math" w:hAnsi="Cambria Math"/>
                </w:rPr>
                <m:t>)</m:t>
              </m:r>
            </m:e>
            <m:sup>
              <m:r>
                <w:rPr>
                  <w:rFonts w:ascii="Cambria Math" w:hAnsi="Cambria Math"/>
                </w:rPr>
                <m:t>3</m:t>
              </m:r>
            </m:sup>
          </m:sSup>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0,2</m:t>
                  </m:r>
                </m:sub>
              </m:sSub>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2,3</m:t>
              </m:r>
            </m:sub>
          </m:sSub>
          <m:r>
            <w:rPr>
              <w:rFonts w:ascii="Cambria Math" w:eastAsiaTheme="minorEastAsia" w:hAnsi="Cambria Math"/>
            </w:rPr>
            <m:t xml:space="preserve">) </m:t>
          </m:r>
        </m:oMath>
      </m:oMathPara>
    </w:p>
    <w:p w:rsidR="008122F3" w:rsidRDefault="008122F3" w:rsidP="008122F3">
      <w:pPr>
        <w:spacing w:after="240" w:line="276" w:lineRule="auto"/>
        <w:jc w:val="both"/>
      </w:pPr>
      <w:r w:rsidRPr="001B3A34">
        <w:t xml:space="preserve">V rovnici tedy </w:t>
      </w:r>
      <w:r w:rsidR="00BE5DC5">
        <w:t>jsou</w:t>
      </w:r>
      <w:r w:rsidRPr="001B3A34">
        <w:t xml:space="preserve"> dvě spotové úrokové sazby</w:t>
      </w:r>
      <w:r w:rsidR="000C2502">
        <w:t xml:space="preserve"> </w:t>
      </w:r>
      <m:oMath>
        <m:sSub>
          <m:sSubPr>
            <m:ctrlPr>
              <w:rPr>
                <w:rFonts w:ascii="Cambria Math" w:hAnsi="Cambria Math"/>
                <w:i/>
              </w:rPr>
            </m:ctrlPr>
          </m:sSubPr>
          <m:e>
            <m:r>
              <w:rPr>
                <w:rFonts w:ascii="Cambria Math" w:hAnsi="Cambria Math"/>
              </w:rPr>
              <m:t>i</m:t>
            </m:r>
          </m:e>
          <m:sub>
            <m:r>
              <w:rPr>
                <w:rFonts w:ascii="Cambria Math" w:hAnsi="Cambria Math"/>
              </w:rPr>
              <m:t>0,3</m:t>
            </m:r>
          </m:sub>
        </m:sSub>
      </m:oMath>
      <w:r w:rsidR="000C2502">
        <w:t xml:space="preserve"> a </w:t>
      </w: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0,2</m:t>
            </m:r>
          </m:sub>
        </m:sSub>
      </m:oMath>
      <w:r w:rsidRPr="001B3A34">
        <w:t>, které</w:t>
      </w:r>
      <w:r w:rsidR="00BE5DC5">
        <w:t xml:space="preserve"> lze</w:t>
      </w:r>
      <w:r w:rsidRPr="001B3A34">
        <w:t xml:space="preserve"> zjistit okamžitě</w:t>
      </w:r>
      <w:r w:rsidR="00C00AAC">
        <w:t>,</w:t>
      </w:r>
      <w:r w:rsidRPr="001B3A34">
        <w:t xml:space="preserve"> a jedn</w:t>
      </w:r>
      <w:r w:rsidR="000C2502">
        <w:t xml:space="preserve">a termínová úroková sazba </w:t>
      </w: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2,3</m:t>
            </m:r>
          </m:sub>
        </m:sSub>
      </m:oMath>
      <w:r w:rsidRPr="001B3A34">
        <w:t xml:space="preserve">, kterou </w:t>
      </w:r>
      <w:r w:rsidR="00BE5DC5">
        <w:t>lze pomocí rovnice dopočítat</w:t>
      </w:r>
      <w:r w:rsidRPr="001B3A34">
        <w:t>. Výsledek může posloužit jako odhad budoucí spotové úrokové míry</w:t>
      </w:r>
      <w:r>
        <w:t>.</w:t>
      </w:r>
      <w:r w:rsidR="000C2502">
        <w:rPr>
          <w:rStyle w:val="Znakapoznpodarou"/>
          <w:rFonts w:eastAsiaTheme="majorEastAsia"/>
        </w:rPr>
        <w:footnoteReference w:id="42"/>
      </w:r>
    </w:p>
    <w:p w:rsidR="00581380" w:rsidRDefault="00581380" w:rsidP="008122F3">
      <w:pPr>
        <w:spacing w:after="240" w:line="276" w:lineRule="auto"/>
        <w:jc w:val="both"/>
      </w:pPr>
      <w:r>
        <w:t xml:space="preserve">Principem FRA je ve stanoveném datu v budoucnosti platba spotové hodnoty referenční úrokové míry k tomuto datu jednou stranou obchodu oproti platbě odvozené od pevně </w:t>
      </w:r>
      <w:r w:rsidR="00176F09">
        <w:t>určené</w:t>
      </w:r>
      <w:r>
        <w:t xml:space="preserve"> FRA-sazby. Kupující FRA přijímá platbu referenční úrokové míry, prodávající ji naopak platí. V praxi však nedochází k celým platbám, nýbrž pouze k vyrovnání rozdílů mezi danými úrokovými sazbami.</w:t>
      </w:r>
      <w:r>
        <w:rPr>
          <w:rStyle w:val="Znakapoznpodarou"/>
        </w:rPr>
        <w:footnoteReference w:id="43"/>
      </w:r>
      <w:r>
        <w:t xml:space="preserve"> Platbu tak provádí pouze jedna ze stran FRA kontraktu dle výše sazeb. Tyto vyrovnávací platby nazýváme jako </w:t>
      </w:r>
      <w:r w:rsidRPr="00CC7A19">
        <w:rPr>
          <w:i/>
        </w:rPr>
        <w:t>„interest netting“</w:t>
      </w:r>
      <w:r>
        <w:t>.</w:t>
      </w:r>
      <w:r w:rsidR="00D525A2" w:rsidRPr="00D525A2">
        <w:rPr>
          <w:rStyle w:val="Znakapoznpodarou"/>
          <w:rFonts w:eastAsiaTheme="majorEastAsia"/>
        </w:rPr>
        <w:footnoteReference w:id="44"/>
      </w:r>
      <w:r>
        <w:t xml:space="preserve"> Úrokové platb</w:t>
      </w:r>
      <w:r w:rsidR="00D525A2">
        <w:t>y jsou realizovány nejčastěji ke dni začátku úrokovacího období.</w:t>
      </w:r>
    </w:p>
    <w:p w:rsidR="00FE0D20" w:rsidRDefault="00773B44" w:rsidP="008122F3">
      <w:pPr>
        <w:spacing w:after="240" w:line="276" w:lineRule="auto"/>
        <w:jc w:val="both"/>
      </w:pPr>
      <w:r>
        <w:t>Na Obr. 1</w:t>
      </w:r>
      <w:r w:rsidR="00FE0D20">
        <w:t xml:space="preserve"> je znázorněn pří</w:t>
      </w:r>
      <w:r w:rsidR="006A44EE">
        <w:t>kl</w:t>
      </w:r>
      <w:r w:rsidR="00FE0D20">
        <w:t xml:space="preserve">ad výše plnění FRA. </w:t>
      </w:r>
      <w:r w:rsidR="00FE7C0F">
        <w:t>Jedná se o kontrakt FRA 6x12. Dnem sjednání je 1. 3. Úrokové období je tedy stanoveno od 1. 9. do 1. 3. následujícího roku. 1.</w:t>
      </w:r>
      <w:r w:rsidR="00EA6BC8">
        <w:t> </w:t>
      </w:r>
      <w:r w:rsidR="00FE7C0F">
        <w:t>9.</w:t>
      </w:r>
      <w:r w:rsidR="00EA6BC8">
        <w:t> </w:t>
      </w:r>
      <w:r w:rsidR="00FE7C0F">
        <w:t>je</w:t>
      </w:r>
      <w:r w:rsidR="00EA6BC8">
        <w:t> </w:t>
      </w:r>
      <w:r w:rsidR="00FE7C0F">
        <w:t>referenční úroková sazba nižší než pevně stanovená FRA-sazba. To znamená, že</w:t>
      </w:r>
      <w:r w:rsidR="00EA6BC8">
        <w:t> </w:t>
      </w:r>
      <w:r w:rsidR="00FE7C0F">
        <w:t>k datu 1.</w:t>
      </w:r>
      <w:r w:rsidR="00EA6BC8">
        <w:t> </w:t>
      </w:r>
      <w:r w:rsidR="00FE7C0F">
        <w:t xml:space="preserve">9. zaplatí kupující FRA prodávajícímu příslušný úrokový rozdíl. Úroková platba je odvozena od daného </w:t>
      </w:r>
      <w:r w:rsidR="00FB4FB8">
        <w:t>rozdílu úrokových měr</w:t>
      </w:r>
      <w:r w:rsidR="00FE7C0F">
        <w:t xml:space="preserve"> a délky úrokovacího období, což je na obrázku </w:t>
      </w:r>
      <w:r w:rsidR="00FE7C0F">
        <w:lastRenderedPageBreak/>
        <w:t xml:space="preserve">znázorněno šedým obdélníkem. </w:t>
      </w:r>
      <w:r w:rsidR="00B42C92">
        <w:t xml:space="preserve">Kupující FRA je tedy ve ztrátě. Pokud kupující FRA daný kontrakt sjednal jako zajišťovací, pak </w:t>
      </w:r>
      <w:r w:rsidR="00CC7A19">
        <w:t>je třeba tuto ztrátu chápat</w:t>
      </w:r>
      <w:r w:rsidR="00B42C92">
        <w:t xml:space="preserve"> jako náklad zajištění.</w:t>
      </w:r>
      <w:r w:rsidR="00C70265">
        <w:rPr>
          <w:rStyle w:val="Znakapoznpodarou"/>
        </w:rPr>
        <w:footnoteReference w:id="45"/>
      </w:r>
    </w:p>
    <w:p w:rsidR="00CC7A19" w:rsidRDefault="00CC7A19" w:rsidP="008122F3">
      <w:pPr>
        <w:spacing w:after="240" w:line="276" w:lineRule="auto"/>
        <w:jc w:val="both"/>
      </w:pPr>
    </w:p>
    <w:p w:rsidR="00FE7C0F" w:rsidRPr="00FE7C0F" w:rsidRDefault="00FE7C0F" w:rsidP="00FE7C0F">
      <w:pPr>
        <w:pStyle w:val="Titulek"/>
        <w:keepNext/>
        <w:spacing w:after="0" w:line="276" w:lineRule="auto"/>
        <w:jc w:val="both"/>
        <w:rPr>
          <w:rFonts w:ascii="Times New Roman" w:hAnsi="Times New Roman" w:cs="Times New Roman"/>
          <w:b w:val="0"/>
          <w:color w:val="auto"/>
          <w:sz w:val="24"/>
        </w:rPr>
      </w:pPr>
      <w:bookmarkStart w:id="31" w:name="_Toc354393007"/>
      <w:r w:rsidRPr="00FE7C0F">
        <w:rPr>
          <w:rFonts w:ascii="Times New Roman" w:hAnsi="Times New Roman" w:cs="Times New Roman"/>
          <w:b w:val="0"/>
          <w:color w:val="auto"/>
          <w:sz w:val="24"/>
        </w:rPr>
        <w:t xml:space="preserve">Obr. </w:t>
      </w:r>
      <w:r w:rsidR="00FA567C" w:rsidRPr="00FE7C0F">
        <w:rPr>
          <w:rFonts w:ascii="Times New Roman" w:hAnsi="Times New Roman" w:cs="Times New Roman"/>
          <w:b w:val="0"/>
          <w:color w:val="auto"/>
          <w:sz w:val="24"/>
        </w:rPr>
        <w:fldChar w:fldCharType="begin"/>
      </w:r>
      <w:r w:rsidRPr="00FE7C0F">
        <w:rPr>
          <w:rFonts w:ascii="Times New Roman" w:hAnsi="Times New Roman" w:cs="Times New Roman"/>
          <w:b w:val="0"/>
          <w:color w:val="auto"/>
          <w:sz w:val="24"/>
        </w:rPr>
        <w:instrText xml:space="preserve"> SEQ Obr. \* ARABIC </w:instrText>
      </w:r>
      <w:r w:rsidR="00FA567C" w:rsidRPr="00FE7C0F">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w:t>
      </w:r>
      <w:r w:rsidR="00FA567C" w:rsidRPr="00FE7C0F">
        <w:rPr>
          <w:rFonts w:ascii="Times New Roman" w:hAnsi="Times New Roman" w:cs="Times New Roman"/>
          <w:b w:val="0"/>
          <w:color w:val="auto"/>
          <w:sz w:val="24"/>
        </w:rPr>
        <w:fldChar w:fldCharType="end"/>
      </w:r>
      <w:r w:rsidRPr="00FE7C0F">
        <w:rPr>
          <w:rFonts w:ascii="Times New Roman" w:hAnsi="Times New Roman" w:cs="Times New Roman"/>
          <w:b w:val="0"/>
          <w:color w:val="auto"/>
          <w:sz w:val="24"/>
        </w:rPr>
        <w:t>: Příklad plnění FRA</w:t>
      </w:r>
      <w:bookmarkEnd w:id="31"/>
    </w:p>
    <w:p w:rsidR="00581380" w:rsidRDefault="00FE7C0F" w:rsidP="00FE7C0F">
      <w:pPr>
        <w:spacing w:line="276" w:lineRule="auto"/>
        <w:jc w:val="center"/>
      </w:pPr>
      <w:r>
        <w:rPr>
          <w:noProof/>
          <w:lang w:eastAsia="cs-CZ"/>
        </w:rPr>
        <w:drawing>
          <wp:inline distT="0" distB="0" distL="0" distR="0">
            <wp:extent cx="4248150" cy="2634711"/>
            <wp:effectExtent l="19050" t="0" r="0" b="0"/>
            <wp:docPr id="28" name="Obrázek 27" descr="FRA lepší.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 lepší.gif"/>
                    <pic:cNvPicPr/>
                  </pic:nvPicPr>
                  <pic:blipFill>
                    <a:blip r:embed="rId11" cstate="print"/>
                    <a:stretch>
                      <a:fillRect/>
                    </a:stretch>
                  </pic:blipFill>
                  <pic:spPr>
                    <a:xfrm>
                      <a:off x="0" y="0"/>
                      <a:ext cx="4248150" cy="2634711"/>
                    </a:xfrm>
                    <a:prstGeom prst="rect">
                      <a:avLst/>
                    </a:prstGeom>
                  </pic:spPr>
                </pic:pic>
              </a:graphicData>
            </a:graphic>
          </wp:inline>
        </w:drawing>
      </w:r>
    </w:p>
    <w:p w:rsidR="00FE7C0F" w:rsidRPr="00F2162F" w:rsidRDefault="00FE7C0F" w:rsidP="00FE7C0F">
      <w:pPr>
        <w:spacing w:after="240" w:line="276" w:lineRule="auto"/>
        <w:jc w:val="both"/>
        <w:rPr>
          <w:i/>
          <w:sz w:val="20"/>
          <w:szCs w:val="20"/>
        </w:rPr>
      </w:pPr>
      <w:r w:rsidRPr="00F2162F">
        <w:rPr>
          <w:i/>
          <w:sz w:val="20"/>
          <w:szCs w:val="20"/>
        </w:rPr>
        <w:t xml:space="preserve">Pramen: </w:t>
      </w:r>
      <w:r w:rsidR="00F2162F" w:rsidRPr="00F2162F">
        <w:rPr>
          <w:i/>
          <w:iCs/>
          <w:sz w:val="20"/>
          <w:szCs w:val="20"/>
        </w:rPr>
        <w:t xml:space="preserve">KOMERČNÍ BANKA: Forward rate agreement. </w:t>
      </w:r>
      <w:r w:rsidR="00F07151" w:rsidRPr="00F2162F">
        <w:rPr>
          <w:i/>
          <w:iCs/>
          <w:sz w:val="20"/>
          <w:szCs w:val="20"/>
        </w:rPr>
        <w:t>Komerční banka</w:t>
      </w:r>
      <w:r w:rsidR="00F07151" w:rsidRPr="00F2162F">
        <w:rPr>
          <w:i/>
          <w:sz w:val="20"/>
          <w:szCs w:val="20"/>
        </w:rPr>
        <w:t xml:space="preserve"> [online]. [cit. 2013-04-04]. Dostupné </w:t>
      </w:r>
      <w:r w:rsidR="003E35B7" w:rsidRPr="00F2162F">
        <w:rPr>
          <w:i/>
          <w:sz w:val="20"/>
          <w:szCs w:val="20"/>
        </w:rPr>
        <w:t>na WWW</w:t>
      </w:r>
      <w:r w:rsidR="00CC7A19" w:rsidRPr="00F2162F">
        <w:rPr>
          <w:i/>
          <w:sz w:val="20"/>
          <w:szCs w:val="20"/>
        </w:rPr>
        <w:t>: &lt;</w:t>
      </w:r>
      <w:r w:rsidRPr="00F2162F">
        <w:rPr>
          <w:i/>
          <w:sz w:val="20"/>
          <w:szCs w:val="20"/>
        </w:rPr>
        <w:t>http://www.kb.cz/cs/verejna-sprava/zajisteni/forward-rate-agreement.shtml</w:t>
      </w:r>
      <w:r w:rsidR="00CC7A19" w:rsidRPr="00F2162F">
        <w:rPr>
          <w:i/>
          <w:sz w:val="20"/>
          <w:szCs w:val="20"/>
        </w:rPr>
        <w:t>&gt;</w:t>
      </w:r>
    </w:p>
    <w:p w:rsidR="00FE7C0F" w:rsidRPr="00FE7C0F" w:rsidRDefault="00FE7C0F" w:rsidP="00FE7C0F">
      <w:pPr>
        <w:spacing w:after="240" w:line="276" w:lineRule="auto"/>
        <w:jc w:val="both"/>
      </w:pPr>
    </w:p>
    <w:p w:rsidR="008122F3" w:rsidRDefault="008122F3" w:rsidP="00C27CB0">
      <w:pPr>
        <w:pStyle w:val="Nadpis2"/>
      </w:pPr>
      <w:bookmarkStart w:id="32" w:name="_Toc353550127"/>
      <w:bookmarkStart w:id="33" w:name="_Toc354393053"/>
      <w:r>
        <w:t>Měnový forward</w:t>
      </w:r>
      <w:bookmarkEnd w:id="32"/>
      <w:bookmarkEnd w:id="33"/>
    </w:p>
    <w:p w:rsidR="008122F3" w:rsidRDefault="008122F3" w:rsidP="008122F3">
      <w:pPr>
        <w:spacing w:after="240" w:line="276" w:lineRule="auto"/>
        <w:jc w:val="both"/>
      </w:pPr>
      <w:r>
        <w:t>Podkladovým aktivem měnového forwardu je měnový kurz</w:t>
      </w:r>
      <w:r w:rsidR="00D80BC7">
        <w:t xml:space="preserve">. K určitému datu v budoucnu </w:t>
      </w:r>
      <w:r>
        <w:t xml:space="preserve">dochází k výměně </w:t>
      </w:r>
      <w:r w:rsidR="00B42190">
        <w:t>stanovené</w:t>
      </w:r>
      <w:r>
        <w:t xml:space="preserve"> sumy hotovosti v jedné měně za </w:t>
      </w:r>
      <w:r w:rsidR="00B42190">
        <w:t>obnos</w:t>
      </w:r>
      <w:r>
        <w:t xml:space="preserve"> hotovosti v druhé měně. Sjednáním měnového forwardu se tak může investor zajistit proti </w:t>
      </w:r>
      <w:r w:rsidR="00B42190">
        <w:t xml:space="preserve">nepříznivému </w:t>
      </w:r>
      <w:r>
        <w:t>pohybu měnového kurzu.</w:t>
      </w:r>
    </w:p>
    <w:p w:rsidR="008122F3" w:rsidRDefault="00176F09" w:rsidP="008122F3">
      <w:pPr>
        <w:spacing w:after="240" w:line="276" w:lineRule="auto"/>
        <w:jc w:val="both"/>
      </w:pPr>
      <w:r>
        <w:t xml:space="preserve">Při sjednání měnového forwardu dochází ke stanovení forwardového měnového kurzu. </w:t>
      </w:r>
      <w:r w:rsidR="00B42190">
        <w:t>K</w:t>
      </w:r>
      <w:r>
        <w:t> </w:t>
      </w:r>
      <w:r w:rsidR="00B42190">
        <w:t>výpočtu</w:t>
      </w:r>
      <w:r w:rsidR="008122F3">
        <w:t xml:space="preserve"> </w:t>
      </w:r>
      <w:r>
        <w:t>tohoto</w:t>
      </w:r>
      <w:r w:rsidR="008122F3">
        <w:t xml:space="preserve"> kurzu se používá </w:t>
      </w:r>
      <w:r w:rsidR="00B42190">
        <w:t>stejného</w:t>
      </w:r>
      <w:r w:rsidR="008122F3">
        <w:t xml:space="preserve"> principu, jako je tomu u </w:t>
      </w:r>
      <w:r w:rsidR="00D80BC7">
        <w:t>forwardové úrokové míry</w:t>
      </w:r>
      <w:r w:rsidR="008122F3">
        <w:t>. Opět zde nastupuje pravidlo, že investor musí získat stejnou sumu hotovosti, nehledě na</w:t>
      </w:r>
      <w:r w:rsidR="00D80BC7">
        <w:t> </w:t>
      </w:r>
      <w:r w:rsidR="00CC7A19">
        <w:t xml:space="preserve">to, zda realizuje obchody </w:t>
      </w:r>
      <w:r w:rsidR="008122F3">
        <w:t xml:space="preserve">na spotovém trhu nebo zda obchoduje na termínovém trhu. </w:t>
      </w:r>
      <w:r w:rsidR="00CC7A19">
        <w:t>Cílem je</w:t>
      </w:r>
      <w:r w:rsidR="00EA6BC8">
        <w:t> </w:t>
      </w:r>
      <w:r w:rsidR="00B42190">
        <w:t xml:space="preserve">tedy </w:t>
      </w:r>
      <w:r w:rsidR="00CC7A19">
        <w:t>opět eliminace</w:t>
      </w:r>
      <w:r w:rsidR="008122F3">
        <w:t xml:space="preserve"> bez</w:t>
      </w:r>
      <w:r w:rsidR="00CC7A19">
        <w:t>rizikové</w:t>
      </w:r>
      <w:r w:rsidR="00B42190">
        <w:t xml:space="preserve"> arbitráž</w:t>
      </w:r>
      <w:r w:rsidR="00CC7A19">
        <w:t>e a</w:t>
      </w:r>
      <w:r w:rsidR="00B42190">
        <w:t xml:space="preserve"> </w:t>
      </w:r>
      <w:r w:rsidR="00CC7A19">
        <w:t>dosažení tzv. kryté úrokové parity</w:t>
      </w:r>
      <w:r w:rsidR="008122F3">
        <w:t>. Pokud krytá úroková parita neplatí, realizují investoři na trzích bezrizikové měnové arbitráže tak dlouho, dokud nebude forwardový měnový kurz v rovnováze nebo dokud budou z arbitráží realizovat zisk.</w:t>
      </w:r>
      <w:r w:rsidR="008122F3">
        <w:rPr>
          <w:rStyle w:val="Znakapoznpodarou"/>
          <w:rFonts w:eastAsiaTheme="majorEastAsia"/>
        </w:rPr>
        <w:footnoteReference w:id="46"/>
      </w:r>
      <w:r w:rsidR="008122F3">
        <w:t xml:space="preserve"> </w:t>
      </w:r>
      <w:r w:rsidR="00CC7A19">
        <w:t>Taková situace se nazývá</w:t>
      </w:r>
      <w:r w:rsidR="00B42190">
        <w:t xml:space="preserve"> nekrytá úroková parita</w:t>
      </w:r>
      <w:r w:rsidR="008122F3">
        <w:t>.</w:t>
      </w:r>
      <w:r w:rsidR="008122F3">
        <w:rPr>
          <w:rStyle w:val="Znakapoznpodarou"/>
          <w:rFonts w:eastAsiaTheme="majorEastAsia"/>
        </w:rPr>
        <w:footnoteReference w:id="47"/>
      </w:r>
    </w:p>
    <w:p w:rsidR="008122F3" w:rsidRDefault="008122F3" w:rsidP="008122F3">
      <w:pPr>
        <w:spacing w:after="240" w:line="276" w:lineRule="auto"/>
        <w:jc w:val="both"/>
      </w:pPr>
      <w:r>
        <w:lastRenderedPageBreak/>
        <w:t>Forwardový měnový kurz na nákup je možno odvodit z následujících operací:</w:t>
      </w:r>
      <w:r w:rsidR="00447807">
        <w:rPr>
          <w:rStyle w:val="Znakapoznpodarou"/>
          <w:rFonts w:eastAsiaTheme="majorEastAsia"/>
        </w:rPr>
        <w:footnoteReference w:id="48"/>
      </w:r>
      <w:r>
        <w:t xml:space="preserve"> </w:t>
      </w:r>
      <w:r w:rsidR="00C10C32">
        <w:t>Č</w:t>
      </w:r>
      <w:r>
        <w:t>eský</w:t>
      </w:r>
      <w:r w:rsidR="00447807">
        <w:t> </w:t>
      </w:r>
      <w:r>
        <w:t>investor za půl roku</w:t>
      </w:r>
      <w:r w:rsidRPr="00E25F26">
        <w:t xml:space="preserve"> </w:t>
      </w:r>
      <w:r>
        <w:t xml:space="preserve">obdržet </w:t>
      </w:r>
      <w:r w:rsidRPr="00955D1C">
        <w:t>1</w:t>
      </w:r>
      <w:r w:rsidR="00176F09">
        <w:t> </w:t>
      </w:r>
      <w:r>
        <w:t>0</w:t>
      </w:r>
      <w:r w:rsidRPr="00955D1C">
        <w:t>00</w:t>
      </w:r>
      <w:r w:rsidR="00176F09">
        <w:t xml:space="preserve"> </w:t>
      </w:r>
      <w:r w:rsidR="00447807">
        <w:t>EUR</w:t>
      </w:r>
      <w:r>
        <w:t>. Měnový kurz CZK/EUR je dnes na úrovni 25,367. Aby</w:t>
      </w:r>
      <w:r w:rsidR="00EA6BC8">
        <w:t> </w:t>
      </w:r>
      <w:r>
        <w:t>se investor pojistil proti případnému nepříznivému pohybu kurzu</w:t>
      </w:r>
      <w:r w:rsidR="00C10C32">
        <w:t>, podnikne následující kroky na spotovém trhu. Investor si</w:t>
      </w:r>
      <w:r>
        <w:t xml:space="preserve"> půjčí v ba</w:t>
      </w:r>
      <w:r w:rsidR="00176F09">
        <w:t>nce oddiskontovanou sumu 100</w:t>
      </w:r>
      <w:r w:rsidR="00447807">
        <w:t> EUR</w:t>
      </w:r>
      <w:r>
        <w:t>, tedy sumu, kterou má v budoucnu obdržet. Úroková sazba pro tento úvěr činí 3,2</w:t>
      </w:r>
      <w:r w:rsidR="00176F09">
        <w:t> </w:t>
      </w:r>
      <w:r>
        <w:t>%. Investor dále získaný peněžní obnos převede aktuálním spotovým kurzem z </w:t>
      </w:r>
      <w:r w:rsidR="00176F09">
        <w:t>eur na</w:t>
      </w:r>
      <w:r w:rsidR="00447807">
        <w:t> </w:t>
      </w:r>
      <w:r w:rsidR="00176F09">
        <w:t>české koruny a sumu v korunách</w:t>
      </w:r>
      <w:r>
        <w:t xml:space="preserve"> uloží v bance na účet, který je úročen sazbou 2,5 %.</w:t>
      </w:r>
      <w:r w:rsidR="00176F09">
        <w:t xml:space="preserve"> Zmiňované operace lze</w:t>
      </w:r>
      <w:r w:rsidR="00EA6BC8">
        <w:t> </w:t>
      </w:r>
      <w:r w:rsidR="00176F09">
        <w:t>zapsat vzorcem:</w:t>
      </w:r>
      <w:r>
        <w:t xml:space="preserve"> </w:t>
      </w:r>
    </w:p>
    <w:p w:rsidR="008122F3" w:rsidRDefault="00FA567C" w:rsidP="008122F3">
      <w:pPr>
        <w:spacing w:after="240" w:line="276" w:lineRule="auto"/>
        <w:jc w:val="both"/>
      </w:pPr>
      <m:oMathPara>
        <m:oMath>
          <m:f>
            <m:fPr>
              <m:ctrlPr>
                <w:rPr>
                  <w:rFonts w:ascii="Cambria Math" w:hAnsi="Cambria Math"/>
                  <w:i/>
                </w:rPr>
              </m:ctrlPr>
            </m:fPr>
            <m:num>
              <m:r>
                <w:rPr>
                  <w:rFonts w:ascii="Cambria Math" w:hAnsi="Cambria Math"/>
                </w:rPr>
                <m:t>1 000</m:t>
              </m:r>
            </m:num>
            <m:den>
              <m:r>
                <w:rPr>
                  <w:rFonts w:ascii="Cambria Math" w:hAnsi="Cambria Math"/>
                </w:rPr>
                <m:t>(1+0,0</m:t>
              </m:r>
              <m:r>
                <w:rPr>
                  <w:rFonts w:ascii="Cambria Math" w:hAnsi="Cambria Math"/>
                </w:rPr>
                <m:t>32*</m:t>
              </m:r>
              <m:r>
                <w:rPr>
                  <w:rFonts w:ascii="Cambria Math" w:hAnsi="Cambria Math"/>
                </w:rPr>
                <m:t>0,5)</m:t>
              </m:r>
            </m:den>
          </m:f>
          <m:r>
            <w:rPr>
              <w:rFonts w:ascii="Cambria Math" w:hAnsi="Cambria Math"/>
            </w:rPr>
            <m:t>*25,367*</m:t>
          </m:r>
          <m:r>
            <w:rPr>
              <w:rFonts w:ascii="Cambria Math" w:hAnsi="Cambria Math"/>
            </w:rPr>
            <m:t>(1+0,025</m:t>
          </m:r>
          <m:r>
            <w:rPr>
              <w:rFonts w:ascii="Cambria Math" w:hAnsi="Cambria Math"/>
            </w:rPr>
            <m:t>*</m:t>
          </m:r>
          <m:r>
            <w:rPr>
              <w:rFonts w:ascii="Cambria Math" w:hAnsi="Cambria Math"/>
            </w:rPr>
            <m:t>0,5)</m:t>
          </m:r>
        </m:oMath>
      </m:oMathPara>
    </w:p>
    <w:p w:rsidR="008122F3" w:rsidRDefault="008122F3" w:rsidP="008122F3">
      <w:pPr>
        <w:spacing w:after="240" w:line="276" w:lineRule="auto"/>
        <w:jc w:val="both"/>
      </w:pPr>
      <w:r>
        <w:t xml:space="preserve">Dle toho příkladu získá investor v konečném důsledku 25 279,61 </w:t>
      </w:r>
      <w:r w:rsidR="00447807">
        <w:t>CZK</w:t>
      </w:r>
      <w:r>
        <w:t>.</w:t>
      </w:r>
    </w:p>
    <w:p w:rsidR="008122F3" w:rsidRDefault="008122F3" w:rsidP="008122F3">
      <w:pPr>
        <w:spacing w:after="240" w:line="276" w:lineRule="auto"/>
        <w:jc w:val="both"/>
      </w:pPr>
      <w:r>
        <w:t xml:space="preserve">Celému tomuto postupu, i jeho konkrétnímu výsledku, musí odpovídat forwardový měnový kurz pro nákup. </w:t>
      </w:r>
      <w:r w:rsidR="00176F09">
        <w:t>Vzorec pro forwardový měnový kurz na nákup je proto následující:</w:t>
      </w:r>
    </w:p>
    <w:p w:rsidR="008122F3" w:rsidRDefault="00FA567C" w:rsidP="008122F3">
      <w:pPr>
        <w:spacing w:before="240" w:after="240" w:line="276" w:lineRule="auto"/>
        <w:contextualSpacing/>
        <w:jc w:val="both"/>
        <w:rPr>
          <w:rFonts w:eastAsiaTheme="minorEastAsia"/>
          <w:sz w:val="28"/>
        </w:rPr>
      </w:pPr>
      <m:oMathPara>
        <m:oMath>
          <m:sSup>
            <m:sSupPr>
              <m:ctrlPr>
                <w:rPr>
                  <w:rFonts w:ascii="Cambria Math" w:hAnsi="Cambria Math"/>
                  <w:i/>
                  <w:sz w:val="28"/>
                </w:rPr>
              </m:ctrlPr>
            </m:sSupPr>
            <m:e>
              <m:r>
                <w:rPr>
                  <w:rFonts w:ascii="Cambria Math" w:hAnsi="Cambria Math"/>
                  <w:sz w:val="28"/>
                </w:rPr>
                <m:t>F</m:t>
              </m:r>
            </m:e>
            <m:sup>
              <m:r>
                <w:rPr>
                  <w:rFonts w:ascii="Cambria Math" w:hAnsi="Cambria Math"/>
                  <w:sz w:val="28"/>
                </w:rPr>
                <m:t>N</m:t>
              </m:r>
            </m:sup>
          </m:sSup>
          <m:r>
            <w:rPr>
              <w:rFonts w:ascii="Cambria Math" w:hAnsi="Cambria Math"/>
              <w:sz w:val="28"/>
            </w:rPr>
            <m:t xml:space="preserve">= </m:t>
          </m:r>
          <m:f>
            <m:fPr>
              <m:ctrlPr>
                <w:rPr>
                  <w:rFonts w:ascii="Cambria Math" w:hAnsi="Cambria Math"/>
                  <w:i/>
                  <w:sz w:val="28"/>
                </w:rPr>
              </m:ctrlPr>
            </m:fPr>
            <m:num>
              <m:sSup>
                <m:sSupPr>
                  <m:ctrlPr>
                    <w:rPr>
                      <w:rFonts w:ascii="Cambria Math" w:hAnsi="Cambria Math"/>
                      <w:i/>
                      <w:sz w:val="28"/>
                    </w:rPr>
                  </m:ctrlPr>
                </m:sSupPr>
                <m:e>
                  <m:r>
                    <w:rPr>
                      <w:rFonts w:ascii="Cambria Math" w:hAnsi="Cambria Math"/>
                      <w:sz w:val="28"/>
                    </w:rPr>
                    <m:t>S</m:t>
                  </m:r>
                </m:e>
                <m:sup>
                  <m:r>
                    <w:rPr>
                      <w:rFonts w:ascii="Cambria Math" w:hAnsi="Cambria Math"/>
                      <w:sz w:val="28"/>
                    </w:rPr>
                    <m:t>N</m:t>
                  </m:r>
                </m:sup>
              </m:sSup>
              <m:r>
                <w:rPr>
                  <w:rFonts w:ascii="Cambria Math" w:hAnsi="Cambria Math"/>
                  <w:sz w:val="28"/>
                </w:rPr>
                <m:t>*(1+</m:t>
              </m:r>
              <m:sSubSup>
                <m:sSubSupPr>
                  <m:ctrlPr>
                    <w:rPr>
                      <w:rFonts w:ascii="Cambria Math" w:hAnsi="Cambria Math"/>
                      <w:i/>
                      <w:sz w:val="28"/>
                    </w:rPr>
                  </m:ctrlPr>
                </m:sSubSupPr>
                <m:e>
                  <m:r>
                    <w:rPr>
                      <w:rFonts w:ascii="Cambria Math" w:hAnsi="Cambria Math"/>
                      <w:sz w:val="28"/>
                    </w:rPr>
                    <m:t>i</m:t>
                  </m:r>
                </m:e>
                <m:sub>
                  <m:r>
                    <w:rPr>
                      <w:rFonts w:ascii="Cambria Math" w:hAnsi="Cambria Math"/>
                      <w:sz w:val="28"/>
                    </w:rPr>
                    <m:t>DM</m:t>
                  </m:r>
                </m:sub>
                <m:sup>
                  <m:r>
                    <w:rPr>
                      <w:rFonts w:ascii="Cambria Math" w:hAnsi="Cambria Math"/>
                      <w:sz w:val="28"/>
                    </w:rPr>
                    <m:t>N</m:t>
                  </m:r>
                </m:sup>
              </m:sSubSup>
              <m:r>
                <w:rPr>
                  <w:rFonts w:ascii="Cambria Math" w:hAnsi="Cambria Math"/>
                  <w:sz w:val="28"/>
                </w:rPr>
                <m:t>*t)</m:t>
              </m:r>
            </m:num>
            <m:den>
              <m:r>
                <w:rPr>
                  <w:rFonts w:ascii="Cambria Math" w:hAnsi="Cambria Math"/>
                  <w:sz w:val="28"/>
                </w:rPr>
                <m:t>1+</m:t>
              </m:r>
              <m:sSubSup>
                <m:sSubSupPr>
                  <m:ctrlPr>
                    <w:rPr>
                      <w:rFonts w:ascii="Cambria Math" w:hAnsi="Cambria Math"/>
                      <w:i/>
                      <w:sz w:val="28"/>
                    </w:rPr>
                  </m:ctrlPr>
                </m:sSubSupPr>
                <m:e>
                  <m:r>
                    <w:rPr>
                      <w:rFonts w:ascii="Cambria Math" w:hAnsi="Cambria Math"/>
                      <w:sz w:val="28"/>
                    </w:rPr>
                    <m:t>i</m:t>
                  </m:r>
                </m:e>
                <m:sub>
                  <m:r>
                    <w:rPr>
                      <w:rFonts w:ascii="Cambria Math" w:hAnsi="Cambria Math"/>
                      <w:sz w:val="28"/>
                    </w:rPr>
                    <m:t>CM</m:t>
                  </m:r>
                </m:sub>
                <m:sup>
                  <m:r>
                    <w:rPr>
                      <w:rFonts w:ascii="Cambria Math" w:hAnsi="Cambria Math"/>
                      <w:sz w:val="28"/>
                    </w:rPr>
                    <m:t>P</m:t>
                  </m:r>
                </m:sup>
              </m:sSubSup>
              <m:r>
                <w:rPr>
                  <w:rFonts w:ascii="Cambria Math" w:hAnsi="Cambria Math"/>
                  <w:sz w:val="28"/>
                </w:rPr>
                <m:t>*t</m:t>
              </m:r>
            </m:den>
          </m:f>
        </m:oMath>
      </m:oMathPara>
    </w:p>
    <w:p w:rsidR="00176F09" w:rsidRDefault="008122F3" w:rsidP="008122F3">
      <w:pPr>
        <w:spacing w:before="240" w:line="276" w:lineRule="auto"/>
      </w:pPr>
      <w:r>
        <w:t>Kde:</w:t>
      </w:r>
      <w:r>
        <w:tab/>
      </w:r>
    </w:p>
    <w:p w:rsidR="008122F3" w:rsidRDefault="008122F3" w:rsidP="00176F09">
      <w:pPr>
        <w:spacing w:line="276" w:lineRule="auto"/>
        <w:ind w:firstLine="708"/>
      </w:pPr>
      <w:r w:rsidRPr="007905B6">
        <w:rPr>
          <w:i/>
        </w:rPr>
        <w:t>S</w:t>
      </w:r>
      <w:r w:rsidRPr="007905B6">
        <w:rPr>
          <w:i/>
          <w:vertAlign w:val="superscript"/>
        </w:rPr>
        <w:t>N</w:t>
      </w:r>
      <w:r>
        <w:t xml:space="preserve">  </w:t>
      </w:r>
      <w:r>
        <w:tab/>
        <w:t>je aktuální spotový měnový kurz na nákup</w:t>
      </w:r>
    </w:p>
    <w:p w:rsidR="008122F3" w:rsidRDefault="008122F3" w:rsidP="008122F3">
      <w:pPr>
        <w:spacing w:line="276" w:lineRule="auto"/>
        <w:jc w:val="both"/>
        <w:rPr>
          <w:rFonts w:eastAsiaTheme="minorEastAsia"/>
        </w:rPr>
      </w:pPr>
      <w:r>
        <w:tab/>
      </w:r>
      <m:oMath>
        <m:sSubSup>
          <m:sSubSupPr>
            <m:ctrlPr>
              <w:rPr>
                <w:rFonts w:ascii="Cambria Math" w:hAnsi="Cambria Math"/>
                <w:i/>
              </w:rPr>
            </m:ctrlPr>
          </m:sSubSupPr>
          <m:e>
            <m:r>
              <w:rPr>
                <w:rFonts w:ascii="Cambria Math" w:hAnsi="Cambria Math"/>
              </w:rPr>
              <m:t>i</m:t>
            </m:r>
          </m:e>
          <m:sub>
            <m:r>
              <w:rPr>
                <w:rFonts w:ascii="Cambria Math" w:hAnsi="Cambria Math"/>
              </w:rPr>
              <m:t>DM</m:t>
            </m:r>
          </m:sub>
          <m:sup>
            <m:r>
              <w:rPr>
                <w:rFonts w:ascii="Cambria Math" w:hAnsi="Cambria Math"/>
              </w:rPr>
              <m:t>N</m:t>
            </m:r>
          </m:sup>
        </m:sSubSup>
      </m:oMath>
      <w:r>
        <w:rPr>
          <w:rFonts w:eastAsiaTheme="minorEastAsia"/>
        </w:rPr>
        <w:t xml:space="preserve"> </w:t>
      </w:r>
      <w:r>
        <w:rPr>
          <w:rFonts w:eastAsiaTheme="minorEastAsia"/>
        </w:rPr>
        <w:tab/>
        <w:t>je úroková sazba na vklad v domácí měně</w:t>
      </w:r>
    </w:p>
    <w:p w:rsidR="008122F3" w:rsidRDefault="008122F3" w:rsidP="008122F3">
      <w:pPr>
        <w:spacing w:line="276" w:lineRule="auto"/>
        <w:jc w:val="both"/>
        <w:rPr>
          <w:rFonts w:eastAsiaTheme="minorEastAsia"/>
        </w:rPr>
      </w:pPr>
      <w:r>
        <w:rPr>
          <w:rFonts w:eastAsiaTheme="minorEastAsia"/>
        </w:rPr>
        <w:tab/>
      </w:r>
      <w:r w:rsidRPr="007905B6">
        <w:rPr>
          <w:rFonts w:eastAsiaTheme="minorEastAsia"/>
          <w:i/>
        </w:rPr>
        <w:t>t</w:t>
      </w:r>
      <w:r w:rsidRPr="007905B6">
        <w:rPr>
          <w:rFonts w:eastAsiaTheme="minorEastAsia"/>
          <w:b/>
        </w:rPr>
        <w:t xml:space="preserve"> </w:t>
      </w:r>
      <w:r>
        <w:rPr>
          <w:rFonts w:eastAsiaTheme="minorEastAsia"/>
        </w:rPr>
        <w:tab/>
        <w:t>je doba úročení</w:t>
      </w:r>
    </w:p>
    <w:p w:rsidR="008122F3" w:rsidRPr="0011048A" w:rsidRDefault="008122F3" w:rsidP="00176F09">
      <w:pPr>
        <w:spacing w:after="240" w:line="276" w:lineRule="auto"/>
        <w:jc w:val="both"/>
      </w:pPr>
      <w:r>
        <w:rPr>
          <w:rFonts w:eastAsiaTheme="minorEastAsia"/>
        </w:rPr>
        <w:tab/>
      </w:r>
      <m:oMath>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CM</m:t>
            </m:r>
          </m:sub>
          <m:sup>
            <m:r>
              <w:rPr>
                <w:rFonts w:ascii="Cambria Math" w:eastAsiaTheme="minorEastAsia" w:hAnsi="Cambria Math"/>
              </w:rPr>
              <m:t>P</m:t>
            </m:r>
          </m:sup>
        </m:sSubSup>
      </m:oMath>
      <w:r>
        <w:rPr>
          <w:rFonts w:eastAsiaTheme="minorEastAsia"/>
        </w:rPr>
        <w:t xml:space="preserve"> </w:t>
      </w:r>
      <w:r>
        <w:rPr>
          <w:rFonts w:eastAsiaTheme="minorEastAsia"/>
        </w:rPr>
        <w:tab/>
        <w:t>je úroková sazba na úvěr v cizí měně</w:t>
      </w:r>
    </w:p>
    <w:p w:rsidR="008122F3" w:rsidRDefault="008122F3" w:rsidP="007905B6">
      <w:pPr>
        <w:spacing w:after="240" w:line="276" w:lineRule="auto"/>
        <w:jc w:val="both"/>
      </w:pPr>
      <w:r>
        <w:t>Pokud si tedy investor sjedná měnový forward, forwardový kurz</w:t>
      </w:r>
      <w:r w:rsidR="007905B6">
        <w:t xml:space="preserve"> bude činit</w:t>
      </w:r>
      <w:r>
        <w:t xml:space="preserve"> 25,27961</w:t>
      </w:r>
      <w:r w:rsidR="00D57ACE">
        <w:t> </w:t>
      </w:r>
      <w:r w:rsidR="007905B6">
        <w:t>CZK/EUR</w:t>
      </w:r>
      <w:r>
        <w:t>. V době splatnosti pak nehledě na změnu měnového kurzu na spotovém trhu obdrží 25 279,61 </w:t>
      </w:r>
      <w:r w:rsidR="00447807">
        <w:t>CZK</w:t>
      </w:r>
      <w:r w:rsidR="007905B6">
        <w:t>.</w:t>
      </w:r>
    </w:p>
    <w:p w:rsidR="008122F3" w:rsidRDefault="008122F3" w:rsidP="008122F3">
      <w:pPr>
        <w:spacing w:after="240" w:line="276" w:lineRule="auto"/>
        <w:jc w:val="both"/>
      </w:pPr>
      <w:r>
        <w:t>Stejný princip platí i pro odvození forwardového měnového kurzu na prodej. Potenciální operace na spotovém trhu jsou následující</w:t>
      </w:r>
      <w:r w:rsidR="00C35B58">
        <w:rPr>
          <w:rStyle w:val="Znakapoznpodarou"/>
        </w:rPr>
        <w:footnoteReference w:id="49"/>
      </w:r>
      <w:r>
        <w:t>: Český investor stojí před situací, kdy mu</w:t>
      </w:r>
      <w:r w:rsidR="007905B6">
        <w:t xml:space="preserve">sí za půl roku zaplatit 1 000 </w:t>
      </w:r>
      <w:r w:rsidR="00447807">
        <w:t>EUR</w:t>
      </w:r>
      <w:r>
        <w:t>. Investor si proto sjedná úvěr v</w:t>
      </w:r>
      <w:r w:rsidR="007905B6">
        <w:t> českých korunách, s úročením 3,2 </w:t>
      </w:r>
      <w:r>
        <w:t xml:space="preserve">%. </w:t>
      </w:r>
      <w:r w:rsidR="007905B6">
        <w:t>Úvěr zřídí v takové výši, aby po směně korun na eura získal oddiskontovanou sumu 1 000 </w:t>
      </w:r>
      <w:r w:rsidR="00447807">
        <w:t>EUR</w:t>
      </w:r>
      <w:r w:rsidR="007905B6">
        <w:t xml:space="preserve">. </w:t>
      </w:r>
      <w:r>
        <w:t>Obnos v</w:t>
      </w:r>
      <w:r w:rsidR="007905B6">
        <w:t xml:space="preserve"> korunách</w:t>
      </w:r>
      <w:r>
        <w:t xml:space="preserve"> </w:t>
      </w:r>
      <w:r w:rsidR="007905B6">
        <w:t xml:space="preserve">tedy následně </w:t>
      </w:r>
      <w:r>
        <w:t>smění a</w:t>
      </w:r>
      <w:r w:rsidR="007905B6">
        <w:t>ktuálním spotovým kurzem 25,397 </w:t>
      </w:r>
      <w:r>
        <w:t>CZK/EUR na</w:t>
      </w:r>
      <w:r w:rsidR="00EA6BC8">
        <w:t> </w:t>
      </w:r>
      <w:r w:rsidR="007905B6">
        <w:t>eura</w:t>
      </w:r>
      <w:r>
        <w:t xml:space="preserve">. </w:t>
      </w:r>
      <w:r w:rsidR="007905B6">
        <w:t xml:space="preserve">Hodnotu v eurech </w:t>
      </w:r>
      <w:r>
        <w:t>pak</w:t>
      </w:r>
      <w:r w:rsidR="007905B6">
        <w:t xml:space="preserve"> investor</w:t>
      </w:r>
      <w:r>
        <w:t xml:space="preserve"> uloží na účet, na kterém mu banka nabídne úrok 2,8</w:t>
      </w:r>
      <w:r w:rsidR="007905B6">
        <w:t> </w:t>
      </w:r>
      <w:r>
        <w:t>%.</w:t>
      </w:r>
    </w:p>
    <w:p w:rsidR="008122F3" w:rsidRDefault="00FA567C" w:rsidP="008122F3">
      <w:pPr>
        <w:spacing w:after="240" w:line="276" w:lineRule="auto"/>
        <w:jc w:val="both"/>
      </w:pPr>
      <m:oMathPara>
        <m:oMath>
          <m:f>
            <m:fPr>
              <m:ctrlPr>
                <w:rPr>
                  <w:rFonts w:ascii="Cambria Math" w:hAnsi="Cambria Math"/>
                  <w:i/>
                </w:rPr>
              </m:ctrlPr>
            </m:fPr>
            <m:num>
              <m:r>
                <w:rPr>
                  <w:rFonts w:ascii="Cambria Math" w:hAnsi="Cambria Math"/>
                </w:rPr>
                <m:t>1 000</m:t>
              </m:r>
            </m:num>
            <m:den>
              <m:r>
                <w:rPr>
                  <w:rFonts w:ascii="Cambria Math" w:hAnsi="Cambria Math"/>
                </w:rPr>
                <m:t>(1+0,028*</m:t>
              </m:r>
              <m:r>
                <w:rPr>
                  <w:rFonts w:ascii="Cambria Math" w:hAnsi="Cambria Math"/>
                </w:rPr>
                <m:t>0,5)</m:t>
              </m:r>
            </m:den>
          </m:f>
          <m:r>
            <w:rPr>
              <w:rFonts w:ascii="Cambria Math" w:hAnsi="Cambria Math"/>
            </w:rPr>
            <m:t>*25,397*(1+0,032*</m:t>
          </m:r>
          <m:r>
            <w:rPr>
              <w:rFonts w:ascii="Cambria Math" w:hAnsi="Cambria Math"/>
            </w:rPr>
            <m:t>0,5)</m:t>
          </m:r>
        </m:oMath>
      </m:oMathPara>
    </w:p>
    <w:p w:rsidR="00447807" w:rsidRDefault="008122F3" w:rsidP="00447807">
      <w:pPr>
        <w:spacing w:after="240" w:line="276" w:lineRule="auto"/>
        <w:jc w:val="both"/>
      </w:pPr>
      <w:r>
        <w:lastRenderedPageBreak/>
        <w:t>V den splatnosti pak investor ze svého účtu vyzvedne 1</w:t>
      </w:r>
      <w:r w:rsidR="007905B6">
        <w:t> </w:t>
      </w:r>
      <w:r>
        <w:t>000</w:t>
      </w:r>
      <w:r w:rsidR="007905B6">
        <w:t xml:space="preserve"> </w:t>
      </w:r>
      <w:r w:rsidR="00447807">
        <w:t>EUR</w:t>
      </w:r>
      <w:r>
        <w:t>, které si tak zajistil pro své závazky. Zá</w:t>
      </w:r>
      <w:r w:rsidR="007905B6">
        <w:t>roveň investor splatí úvěr v českých</w:t>
      </w:r>
      <w:r>
        <w:t>. Prostředky na splacení tohoto úvěru musí získat ze své podnikatelské činnosti. Konkrétně z</w:t>
      </w:r>
      <w:r w:rsidR="007905B6">
        <w:t xml:space="preserve">a půl roku zaplatí 25 447,09 </w:t>
      </w:r>
      <w:r w:rsidR="00447807">
        <w:t>CZK</w:t>
      </w:r>
      <w:r>
        <w:t>.</w:t>
      </w:r>
    </w:p>
    <w:p w:rsidR="008122F3" w:rsidRDefault="008122F3" w:rsidP="00447807">
      <w:pPr>
        <w:spacing w:after="240" w:line="276" w:lineRule="auto"/>
        <w:jc w:val="both"/>
      </w:pPr>
      <w:r>
        <w:t xml:space="preserve">Z uvedeného postupu </w:t>
      </w:r>
      <w:r w:rsidR="00C10C32">
        <w:t xml:space="preserve">lze </w:t>
      </w:r>
      <w:r>
        <w:t xml:space="preserve">opět </w:t>
      </w:r>
      <w:r w:rsidR="00C10C32">
        <w:t>o</w:t>
      </w:r>
      <w:r>
        <w:t>dvodit vzorec pro výpočet forwardového měnového kurzu na</w:t>
      </w:r>
      <w:r w:rsidR="00EA6BC8">
        <w:t> </w:t>
      </w:r>
      <w:r>
        <w:t>prodej:</w:t>
      </w:r>
    </w:p>
    <w:p w:rsidR="008122F3" w:rsidRDefault="00FA567C" w:rsidP="008122F3">
      <w:pPr>
        <w:pStyle w:val="Odstavecseseznamem"/>
        <w:spacing w:after="240"/>
        <w:ind w:left="0"/>
        <w:contextualSpacing w:val="0"/>
        <w:rPr>
          <w:rFonts w:ascii="Times New Roman" w:eastAsiaTheme="minorEastAsia" w:hAnsi="Times New Roman" w:cs="Times New Roman"/>
          <w:sz w:val="28"/>
          <w:szCs w:val="24"/>
        </w:rPr>
      </w:pPr>
      <m:oMathPara>
        <m:oMath>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F</m:t>
              </m:r>
            </m:e>
            <m:sup>
              <m:r>
                <w:rPr>
                  <w:rFonts w:ascii="Cambria Math" w:eastAsiaTheme="minorEastAsia" w:hAnsi="Cambria Math" w:cs="Times New Roman"/>
                  <w:sz w:val="28"/>
                  <w:szCs w:val="24"/>
                </w:rPr>
                <m:t>P</m:t>
              </m:r>
            </m:sup>
          </m:sSup>
          <m:r>
            <w:rPr>
              <w:rFonts w:ascii="Cambria Math" w:eastAsiaTheme="minorEastAsia" w:hAnsi="Cambria Math" w:cs="Times New Roman"/>
              <w:sz w:val="28"/>
              <w:szCs w:val="24"/>
            </w:rPr>
            <m:t xml:space="preserve">= </m:t>
          </m:r>
          <m:f>
            <m:fPr>
              <m:ctrlPr>
                <w:rPr>
                  <w:rFonts w:ascii="Cambria Math" w:eastAsiaTheme="minorEastAsia" w:hAnsi="Cambria Math" w:cs="Times New Roman"/>
                  <w:i/>
                  <w:sz w:val="28"/>
                  <w:szCs w:val="24"/>
                </w:rPr>
              </m:ctrlPr>
            </m:fPr>
            <m:num>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S</m:t>
                  </m:r>
                </m:e>
                <m:sup>
                  <m:r>
                    <w:rPr>
                      <w:rFonts w:ascii="Cambria Math" w:eastAsiaTheme="minorEastAsia" w:hAnsi="Cambria Math" w:cs="Times New Roman"/>
                      <w:sz w:val="28"/>
                      <w:szCs w:val="24"/>
                    </w:rPr>
                    <m:t>P</m:t>
                  </m:r>
                </m:sup>
              </m:sSup>
              <m:r>
                <w:rPr>
                  <w:rFonts w:ascii="Cambria Math" w:eastAsiaTheme="minorEastAsia" w:hAnsi="Cambria Math" w:cs="Times New Roman"/>
                  <w:sz w:val="28"/>
                  <w:szCs w:val="24"/>
                </w:rPr>
                <m:t>*</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 xml:space="preserve">1 + </m:t>
                  </m:r>
                  <m:sSubSup>
                    <m:sSubSupPr>
                      <m:ctrlPr>
                        <w:rPr>
                          <w:rFonts w:ascii="Cambria Math" w:eastAsiaTheme="minorEastAsia" w:hAnsi="Cambria Math" w:cs="Times New Roman"/>
                          <w:i/>
                          <w:sz w:val="28"/>
                          <w:szCs w:val="24"/>
                        </w:rPr>
                      </m:ctrlPr>
                    </m:sSubSupPr>
                    <m:e>
                      <m:r>
                        <w:rPr>
                          <w:rFonts w:ascii="Cambria Math" w:eastAsiaTheme="minorEastAsia" w:hAnsi="Cambria Math" w:cs="Times New Roman"/>
                          <w:sz w:val="28"/>
                          <w:szCs w:val="24"/>
                        </w:rPr>
                        <m:t>i</m:t>
                      </m:r>
                    </m:e>
                    <m:sub>
                      <m:r>
                        <w:rPr>
                          <w:rFonts w:ascii="Cambria Math" w:eastAsiaTheme="minorEastAsia" w:hAnsi="Cambria Math" w:cs="Times New Roman"/>
                          <w:sz w:val="28"/>
                          <w:szCs w:val="24"/>
                        </w:rPr>
                        <m:t>DM</m:t>
                      </m:r>
                    </m:sub>
                    <m:sup>
                      <m:r>
                        <w:rPr>
                          <w:rFonts w:ascii="Cambria Math" w:eastAsiaTheme="minorEastAsia" w:hAnsi="Cambria Math" w:cs="Times New Roman"/>
                          <w:sz w:val="28"/>
                          <w:szCs w:val="24"/>
                        </w:rPr>
                        <m:t>P</m:t>
                      </m:r>
                    </m:sup>
                  </m:sSubSup>
                  <m:r>
                    <w:rPr>
                      <w:rFonts w:ascii="Cambria Math" w:eastAsiaTheme="minorEastAsia" w:hAnsi="Cambria Math" w:cs="Times New Roman"/>
                      <w:sz w:val="28"/>
                      <w:szCs w:val="24"/>
                    </w:rPr>
                    <m:t>*t</m:t>
                  </m:r>
                </m:e>
              </m:d>
            </m:num>
            <m:den>
              <m:r>
                <w:rPr>
                  <w:rFonts w:ascii="Cambria Math" w:eastAsiaTheme="minorEastAsia" w:hAnsi="Cambria Math" w:cs="Times New Roman"/>
                  <w:sz w:val="28"/>
                  <w:szCs w:val="24"/>
                </w:rPr>
                <m:t xml:space="preserve">1+ </m:t>
              </m:r>
              <m:sSubSup>
                <m:sSubSupPr>
                  <m:ctrlPr>
                    <w:rPr>
                      <w:rFonts w:ascii="Cambria Math" w:eastAsiaTheme="minorEastAsia" w:hAnsi="Cambria Math" w:cs="Times New Roman"/>
                      <w:i/>
                      <w:sz w:val="28"/>
                      <w:szCs w:val="24"/>
                    </w:rPr>
                  </m:ctrlPr>
                </m:sSubSupPr>
                <m:e>
                  <m:r>
                    <w:rPr>
                      <w:rFonts w:ascii="Cambria Math" w:eastAsiaTheme="minorEastAsia" w:hAnsi="Cambria Math" w:cs="Times New Roman"/>
                      <w:sz w:val="28"/>
                      <w:szCs w:val="24"/>
                    </w:rPr>
                    <m:t>i</m:t>
                  </m:r>
                </m:e>
                <m:sub>
                  <m:r>
                    <w:rPr>
                      <w:rFonts w:ascii="Cambria Math" w:eastAsiaTheme="minorEastAsia" w:hAnsi="Cambria Math" w:cs="Times New Roman"/>
                      <w:sz w:val="28"/>
                      <w:szCs w:val="24"/>
                    </w:rPr>
                    <m:t>CM</m:t>
                  </m:r>
                </m:sub>
                <m:sup>
                  <m:r>
                    <w:rPr>
                      <w:rFonts w:ascii="Cambria Math" w:eastAsiaTheme="minorEastAsia" w:hAnsi="Cambria Math" w:cs="Times New Roman"/>
                      <w:sz w:val="28"/>
                      <w:szCs w:val="24"/>
                    </w:rPr>
                    <m:t>N</m:t>
                  </m:r>
                </m:sup>
              </m:sSubSup>
              <m:r>
                <w:rPr>
                  <w:rFonts w:ascii="Cambria Math" w:eastAsiaTheme="minorEastAsia" w:hAnsi="Cambria Math" w:cs="Times New Roman"/>
                  <w:sz w:val="28"/>
                  <w:szCs w:val="24"/>
                </w:rPr>
                <m:t>*t</m:t>
              </m:r>
            </m:den>
          </m:f>
        </m:oMath>
      </m:oMathPara>
    </w:p>
    <w:p w:rsidR="007905B6" w:rsidRDefault="008122F3" w:rsidP="007905B6">
      <w:pPr>
        <w:pStyle w:val="Odstavecseseznamem"/>
        <w:spacing w:after="0"/>
        <w:ind w:left="0"/>
        <w:contextualSpacing w:val="0"/>
        <w:rPr>
          <w:rFonts w:ascii="Times New Roman" w:eastAsiaTheme="minorEastAsia" w:hAnsi="Times New Roman" w:cs="Times New Roman"/>
          <w:sz w:val="24"/>
          <w:szCs w:val="24"/>
        </w:rPr>
      </w:pPr>
      <w:r>
        <w:rPr>
          <w:rFonts w:ascii="Times New Roman" w:eastAsiaTheme="minorEastAsia" w:hAnsi="Times New Roman" w:cs="Times New Roman"/>
          <w:sz w:val="24"/>
          <w:szCs w:val="24"/>
        </w:rPr>
        <w:t>Kde:</w:t>
      </w:r>
      <w:r>
        <w:rPr>
          <w:rFonts w:ascii="Times New Roman" w:eastAsiaTheme="minorEastAsia" w:hAnsi="Times New Roman" w:cs="Times New Roman"/>
          <w:sz w:val="24"/>
          <w:szCs w:val="24"/>
        </w:rPr>
        <w:tab/>
      </w:r>
    </w:p>
    <w:p w:rsidR="008122F3" w:rsidRDefault="008122F3" w:rsidP="007905B6">
      <w:pPr>
        <w:pStyle w:val="Odstavecseseznamem"/>
        <w:spacing w:after="0"/>
        <w:ind w:left="0" w:firstLine="708"/>
        <w:contextualSpacing w:val="0"/>
        <w:rPr>
          <w:rFonts w:ascii="Times New Roman" w:hAnsi="Times New Roman" w:cs="Times New Roman"/>
          <w:sz w:val="24"/>
          <w:szCs w:val="24"/>
        </w:rPr>
      </w:pPr>
      <w:r w:rsidRPr="007905B6">
        <w:rPr>
          <w:rFonts w:ascii="Times New Roman" w:hAnsi="Times New Roman" w:cs="Times New Roman"/>
          <w:i/>
          <w:sz w:val="24"/>
          <w:szCs w:val="24"/>
        </w:rPr>
        <w:t>S</w:t>
      </w:r>
      <w:r w:rsidRPr="007905B6">
        <w:rPr>
          <w:rFonts w:ascii="Times New Roman" w:hAnsi="Times New Roman" w:cs="Times New Roman"/>
          <w:i/>
          <w:sz w:val="24"/>
          <w:szCs w:val="24"/>
          <w:vertAlign w:val="superscript"/>
        </w:rPr>
        <w:t>P</w:t>
      </w:r>
      <w:r w:rsidRPr="007905B6">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t>je aktuální spotový měnový kurz na prodej</w:t>
      </w:r>
    </w:p>
    <w:p w:rsidR="008122F3" w:rsidRDefault="008122F3" w:rsidP="008122F3">
      <w:pPr>
        <w:spacing w:line="276" w:lineRule="auto"/>
        <w:jc w:val="both"/>
        <w:rPr>
          <w:rFonts w:eastAsiaTheme="minorEastAsia"/>
        </w:rPr>
      </w:pPr>
      <w:r>
        <w:tab/>
      </w:r>
      <m:oMath>
        <m:sSubSup>
          <m:sSubSupPr>
            <m:ctrlPr>
              <w:rPr>
                <w:rFonts w:ascii="Cambria Math" w:hAnsi="Cambria Math"/>
                <w:i/>
              </w:rPr>
            </m:ctrlPr>
          </m:sSubSupPr>
          <m:e>
            <m:r>
              <w:rPr>
                <w:rFonts w:ascii="Cambria Math" w:hAnsi="Cambria Math"/>
              </w:rPr>
              <m:t>i</m:t>
            </m:r>
          </m:e>
          <m:sub>
            <m:r>
              <w:rPr>
                <w:rFonts w:ascii="Cambria Math" w:hAnsi="Cambria Math"/>
              </w:rPr>
              <m:t>DM</m:t>
            </m:r>
          </m:sub>
          <m:sup>
            <m:r>
              <w:rPr>
                <w:rFonts w:ascii="Cambria Math" w:hAnsi="Cambria Math"/>
              </w:rPr>
              <m:t>P</m:t>
            </m:r>
          </m:sup>
        </m:sSubSup>
      </m:oMath>
      <w:r>
        <w:rPr>
          <w:rFonts w:eastAsiaTheme="minorEastAsia"/>
        </w:rPr>
        <w:t xml:space="preserve"> </w:t>
      </w:r>
      <w:r>
        <w:rPr>
          <w:rFonts w:eastAsiaTheme="minorEastAsia"/>
        </w:rPr>
        <w:tab/>
        <w:t>je úroková sazba na úvěr v domácí měně</w:t>
      </w:r>
    </w:p>
    <w:p w:rsidR="008122F3" w:rsidRDefault="008122F3" w:rsidP="008122F3">
      <w:pPr>
        <w:spacing w:line="276" w:lineRule="auto"/>
        <w:jc w:val="both"/>
        <w:rPr>
          <w:rFonts w:eastAsiaTheme="minorEastAsia"/>
        </w:rPr>
      </w:pPr>
      <w:r>
        <w:rPr>
          <w:rFonts w:eastAsiaTheme="minorEastAsia"/>
        </w:rPr>
        <w:tab/>
      </w:r>
      <w:r w:rsidRPr="007905B6">
        <w:rPr>
          <w:rFonts w:eastAsiaTheme="minorEastAsia"/>
          <w:i/>
        </w:rPr>
        <w:t xml:space="preserve">t </w:t>
      </w:r>
      <w:r>
        <w:rPr>
          <w:rFonts w:eastAsiaTheme="minorEastAsia"/>
        </w:rPr>
        <w:tab/>
        <w:t>je doba úročení</w:t>
      </w:r>
    </w:p>
    <w:p w:rsidR="008122F3" w:rsidRPr="0011048A" w:rsidRDefault="008122F3" w:rsidP="007905B6">
      <w:pPr>
        <w:spacing w:after="240" w:line="276" w:lineRule="auto"/>
        <w:jc w:val="both"/>
      </w:pPr>
      <w:r>
        <w:rPr>
          <w:rFonts w:eastAsiaTheme="minorEastAsia"/>
        </w:rPr>
        <w:tab/>
      </w:r>
      <m:oMath>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CM</m:t>
            </m:r>
          </m:sub>
          <m:sup>
            <m:r>
              <w:rPr>
                <w:rFonts w:ascii="Cambria Math" w:eastAsiaTheme="minorEastAsia" w:hAnsi="Cambria Math"/>
              </w:rPr>
              <m:t>N</m:t>
            </m:r>
          </m:sup>
        </m:sSubSup>
      </m:oMath>
      <w:r>
        <w:rPr>
          <w:rFonts w:eastAsiaTheme="minorEastAsia"/>
        </w:rPr>
        <w:t xml:space="preserve"> </w:t>
      </w:r>
      <w:r>
        <w:rPr>
          <w:rFonts w:eastAsiaTheme="minorEastAsia"/>
        </w:rPr>
        <w:tab/>
        <w:t>je úroková sazba na vklad v cizí měně</w:t>
      </w:r>
    </w:p>
    <w:p w:rsidR="008122F3" w:rsidRDefault="00D57ACE" w:rsidP="00D57ACE">
      <w:pPr>
        <w:pStyle w:val="Odstavecseseznamem"/>
        <w:spacing w:after="24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Pokud by </w:t>
      </w:r>
      <w:r w:rsidR="008122F3">
        <w:rPr>
          <w:rFonts w:ascii="Times New Roman" w:hAnsi="Times New Roman" w:cs="Times New Roman"/>
          <w:sz w:val="24"/>
          <w:szCs w:val="24"/>
        </w:rPr>
        <w:t>investor sjednal měnový forward, forwadový kurz by činil 25,44709 CZK/EUR, což s o</w:t>
      </w:r>
      <w:r>
        <w:rPr>
          <w:rFonts w:ascii="Times New Roman" w:hAnsi="Times New Roman" w:cs="Times New Roman"/>
          <w:sz w:val="24"/>
          <w:szCs w:val="24"/>
        </w:rPr>
        <w:t xml:space="preserve">hledem na požadovaných 1 000 </w:t>
      </w:r>
      <w:r w:rsidR="00447807">
        <w:rPr>
          <w:rFonts w:ascii="Times New Roman" w:hAnsi="Times New Roman" w:cs="Times New Roman"/>
          <w:sz w:val="24"/>
          <w:szCs w:val="24"/>
        </w:rPr>
        <w:t>EUR</w:t>
      </w:r>
      <w:r>
        <w:rPr>
          <w:rFonts w:ascii="Times New Roman" w:hAnsi="Times New Roman" w:cs="Times New Roman"/>
          <w:sz w:val="24"/>
          <w:szCs w:val="24"/>
        </w:rPr>
        <w:t xml:space="preserve"> odpovídá hodnotě 25 447,09 </w:t>
      </w:r>
      <w:r w:rsidR="00447807">
        <w:rPr>
          <w:rFonts w:ascii="Times New Roman" w:hAnsi="Times New Roman" w:cs="Times New Roman"/>
          <w:sz w:val="24"/>
          <w:szCs w:val="24"/>
        </w:rPr>
        <w:t>CZK</w:t>
      </w:r>
      <w:r w:rsidR="008122F3">
        <w:rPr>
          <w:rFonts w:ascii="Times New Roman" w:hAnsi="Times New Roman" w:cs="Times New Roman"/>
          <w:sz w:val="24"/>
          <w:szCs w:val="24"/>
        </w:rPr>
        <w:t xml:space="preserve">. </w:t>
      </w:r>
      <w:r w:rsidR="00C10C32">
        <w:rPr>
          <w:rFonts w:ascii="Times New Roman" w:hAnsi="Times New Roman" w:cs="Times New Roman"/>
          <w:sz w:val="24"/>
          <w:szCs w:val="24"/>
        </w:rPr>
        <w:t>Bylo</w:t>
      </w:r>
      <w:r w:rsidR="008122F3">
        <w:rPr>
          <w:rFonts w:ascii="Times New Roman" w:hAnsi="Times New Roman" w:cs="Times New Roman"/>
          <w:sz w:val="24"/>
          <w:szCs w:val="24"/>
        </w:rPr>
        <w:t xml:space="preserve"> tedy </w:t>
      </w:r>
      <w:r w:rsidR="00C10C32">
        <w:rPr>
          <w:rFonts w:ascii="Times New Roman" w:hAnsi="Times New Roman" w:cs="Times New Roman"/>
          <w:sz w:val="24"/>
          <w:szCs w:val="24"/>
        </w:rPr>
        <w:t xml:space="preserve">dosaženo </w:t>
      </w:r>
      <w:r w:rsidR="008122F3">
        <w:rPr>
          <w:rFonts w:ascii="Times New Roman" w:hAnsi="Times New Roman" w:cs="Times New Roman"/>
          <w:sz w:val="24"/>
          <w:szCs w:val="24"/>
        </w:rPr>
        <w:t>stejného výsledku</w:t>
      </w:r>
      <w:r>
        <w:rPr>
          <w:rFonts w:ascii="Times New Roman" w:hAnsi="Times New Roman" w:cs="Times New Roman"/>
          <w:sz w:val="24"/>
          <w:szCs w:val="24"/>
        </w:rPr>
        <w:t>, kterého dosáhl investor uskutečňováním výše popsaných obchodů na spotovém trhu</w:t>
      </w:r>
      <w:r w:rsidR="008122F3">
        <w:rPr>
          <w:rFonts w:ascii="Times New Roman" w:hAnsi="Times New Roman" w:cs="Times New Roman"/>
          <w:sz w:val="24"/>
          <w:szCs w:val="24"/>
        </w:rPr>
        <w:t>.</w:t>
      </w:r>
    </w:p>
    <w:p w:rsidR="008122F3" w:rsidRPr="0007057A" w:rsidRDefault="008122F3" w:rsidP="00D57ACE">
      <w:pPr>
        <w:pStyle w:val="Odstavecseseznamem"/>
        <w:spacing w:after="240"/>
        <w:ind w:left="0"/>
        <w:contextualSpacing w:val="0"/>
        <w:jc w:val="both"/>
        <w:rPr>
          <w:rFonts w:ascii="Times New Roman" w:eastAsiaTheme="minorEastAsia" w:hAnsi="Times New Roman" w:cs="Times New Roman"/>
          <w:sz w:val="28"/>
          <w:szCs w:val="24"/>
        </w:rPr>
      </w:pPr>
      <w:r>
        <w:rPr>
          <w:rFonts w:ascii="Times New Roman" w:hAnsi="Times New Roman" w:cs="Times New Roman"/>
          <w:sz w:val="24"/>
          <w:szCs w:val="24"/>
        </w:rPr>
        <w:t>Z obou vzorců je patrné, že</w:t>
      </w:r>
      <w:r w:rsidR="00D57ACE">
        <w:rPr>
          <w:rFonts w:ascii="Times New Roman" w:hAnsi="Times New Roman" w:cs="Times New Roman"/>
          <w:sz w:val="24"/>
          <w:szCs w:val="24"/>
        </w:rPr>
        <w:t xml:space="preserve"> je</w:t>
      </w:r>
      <w:r>
        <w:rPr>
          <w:rFonts w:ascii="Times New Roman" w:hAnsi="Times New Roman" w:cs="Times New Roman"/>
          <w:sz w:val="24"/>
          <w:szCs w:val="24"/>
        </w:rPr>
        <w:t xml:space="preserve"> výše</w:t>
      </w:r>
      <w:r w:rsidR="00D57ACE">
        <w:rPr>
          <w:rFonts w:ascii="Times New Roman" w:hAnsi="Times New Roman" w:cs="Times New Roman"/>
          <w:sz w:val="24"/>
          <w:szCs w:val="24"/>
        </w:rPr>
        <w:t xml:space="preserve"> forwardového měnového kurzu </w:t>
      </w:r>
      <w:r>
        <w:rPr>
          <w:rFonts w:ascii="Times New Roman" w:hAnsi="Times New Roman" w:cs="Times New Roman"/>
          <w:sz w:val="24"/>
          <w:szCs w:val="24"/>
        </w:rPr>
        <w:t xml:space="preserve">ovlivněna výší úrokových sazeb, a to jak </w:t>
      </w:r>
      <w:r w:rsidR="00D57ACE">
        <w:rPr>
          <w:rFonts w:ascii="Times New Roman" w:hAnsi="Times New Roman" w:cs="Times New Roman"/>
          <w:sz w:val="24"/>
          <w:szCs w:val="24"/>
        </w:rPr>
        <w:t xml:space="preserve">sazeb </w:t>
      </w:r>
      <w:r>
        <w:rPr>
          <w:rFonts w:ascii="Times New Roman" w:hAnsi="Times New Roman" w:cs="Times New Roman"/>
          <w:sz w:val="24"/>
          <w:szCs w:val="24"/>
        </w:rPr>
        <w:t>na vklad, tak na úvěr</w:t>
      </w:r>
      <w:r w:rsidR="00D57ACE">
        <w:rPr>
          <w:rFonts w:ascii="Times New Roman" w:hAnsi="Times New Roman" w:cs="Times New Roman"/>
          <w:sz w:val="24"/>
          <w:szCs w:val="24"/>
        </w:rPr>
        <w:t>.</w:t>
      </w:r>
      <w:r>
        <w:rPr>
          <w:rFonts w:ascii="Times New Roman" w:hAnsi="Times New Roman" w:cs="Times New Roman"/>
          <w:sz w:val="24"/>
          <w:szCs w:val="24"/>
        </w:rPr>
        <w:t xml:space="preserve"> </w:t>
      </w:r>
      <w:r w:rsidR="00D57ACE">
        <w:rPr>
          <w:rFonts w:ascii="Times New Roman" w:hAnsi="Times New Roman" w:cs="Times New Roman"/>
          <w:sz w:val="24"/>
          <w:szCs w:val="24"/>
        </w:rPr>
        <w:t>D</w:t>
      </w:r>
      <w:r>
        <w:rPr>
          <w:rFonts w:ascii="Times New Roman" w:hAnsi="Times New Roman" w:cs="Times New Roman"/>
          <w:sz w:val="24"/>
          <w:szCs w:val="24"/>
        </w:rPr>
        <w:t xml:space="preserve">ále </w:t>
      </w:r>
      <w:r w:rsidR="00C10C32">
        <w:rPr>
          <w:rFonts w:ascii="Times New Roman" w:hAnsi="Times New Roman" w:cs="Times New Roman"/>
          <w:sz w:val="24"/>
          <w:szCs w:val="24"/>
        </w:rPr>
        <w:t>je tento kurz ovlivňován</w:t>
      </w:r>
      <w:r w:rsidR="00D57ACE">
        <w:rPr>
          <w:rFonts w:ascii="Times New Roman" w:hAnsi="Times New Roman" w:cs="Times New Roman"/>
          <w:sz w:val="24"/>
          <w:szCs w:val="24"/>
        </w:rPr>
        <w:t xml:space="preserve"> aktuální</w:t>
      </w:r>
      <w:r w:rsidR="00C10C32">
        <w:rPr>
          <w:rFonts w:ascii="Times New Roman" w:hAnsi="Times New Roman" w:cs="Times New Roman"/>
          <w:sz w:val="24"/>
          <w:szCs w:val="24"/>
        </w:rPr>
        <w:t>m</w:t>
      </w:r>
      <w:r w:rsidR="00D57ACE">
        <w:rPr>
          <w:rFonts w:ascii="Times New Roman" w:hAnsi="Times New Roman" w:cs="Times New Roman"/>
          <w:sz w:val="24"/>
          <w:szCs w:val="24"/>
        </w:rPr>
        <w:t xml:space="preserve"> spotový</w:t>
      </w:r>
      <w:r w:rsidR="00C10C32">
        <w:rPr>
          <w:rFonts w:ascii="Times New Roman" w:hAnsi="Times New Roman" w:cs="Times New Roman"/>
          <w:sz w:val="24"/>
          <w:szCs w:val="24"/>
        </w:rPr>
        <w:t>m</w:t>
      </w:r>
      <w:r w:rsidR="00D57ACE">
        <w:rPr>
          <w:rFonts w:ascii="Times New Roman" w:hAnsi="Times New Roman" w:cs="Times New Roman"/>
          <w:sz w:val="24"/>
          <w:szCs w:val="24"/>
        </w:rPr>
        <w:t xml:space="preserve"> devizový</w:t>
      </w:r>
      <w:r w:rsidR="00C10C32">
        <w:rPr>
          <w:rFonts w:ascii="Times New Roman" w:hAnsi="Times New Roman" w:cs="Times New Roman"/>
          <w:sz w:val="24"/>
          <w:szCs w:val="24"/>
        </w:rPr>
        <w:t>m</w:t>
      </w:r>
      <w:r w:rsidR="00D57ACE">
        <w:rPr>
          <w:rFonts w:ascii="Times New Roman" w:hAnsi="Times New Roman" w:cs="Times New Roman"/>
          <w:sz w:val="24"/>
          <w:szCs w:val="24"/>
        </w:rPr>
        <w:t xml:space="preserve"> </w:t>
      </w:r>
      <w:r w:rsidR="00C10C32">
        <w:rPr>
          <w:rFonts w:ascii="Times New Roman" w:hAnsi="Times New Roman" w:cs="Times New Roman"/>
          <w:sz w:val="24"/>
          <w:szCs w:val="24"/>
        </w:rPr>
        <w:t>k</w:t>
      </w:r>
      <w:r w:rsidR="00D57ACE">
        <w:rPr>
          <w:rFonts w:ascii="Times New Roman" w:hAnsi="Times New Roman" w:cs="Times New Roman"/>
          <w:sz w:val="24"/>
          <w:szCs w:val="24"/>
        </w:rPr>
        <w:t>urz</w:t>
      </w:r>
      <w:r w:rsidR="00C10C32">
        <w:rPr>
          <w:rFonts w:ascii="Times New Roman" w:hAnsi="Times New Roman" w:cs="Times New Roman"/>
          <w:sz w:val="24"/>
          <w:szCs w:val="24"/>
        </w:rPr>
        <w:t>em a dobou</w:t>
      </w:r>
      <w:r>
        <w:rPr>
          <w:rFonts w:ascii="Times New Roman" w:hAnsi="Times New Roman" w:cs="Times New Roman"/>
          <w:sz w:val="24"/>
          <w:szCs w:val="24"/>
        </w:rPr>
        <w:t xml:space="preserve"> trvání forwardového kontraktu.</w:t>
      </w:r>
    </w:p>
    <w:p w:rsidR="008122F3" w:rsidRDefault="008122F3" w:rsidP="008122F3">
      <w:pPr>
        <w:spacing w:after="240" w:line="276" w:lineRule="auto"/>
        <w:jc w:val="both"/>
      </w:pPr>
      <w:r>
        <w:t>Forwardový měnový kurz se často vyjadřuje pomocí takzvaných forwardových bodů, někdy také označovaných jako swapové body či pipsy. Forwardové body vyjadřují rozdíl mezi</w:t>
      </w:r>
      <w:r w:rsidR="00447807">
        <w:t> </w:t>
      </w:r>
      <w:r>
        <w:t xml:space="preserve">forwardovým měnovým kurzem a spotovým měnovým kurzem. </w:t>
      </w:r>
      <w:r w:rsidR="00C10C32">
        <w:t>K výpočtu forwardových bodů</w:t>
      </w:r>
      <w:r>
        <w:t xml:space="preserve"> </w:t>
      </w:r>
      <w:r w:rsidR="00C10C32">
        <w:t>slouží následující vzorec</w:t>
      </w:r>
      <w:r>
        <w:t>:</w:t>
      </w:r>
      <w:r w:rsidR="00C35B58">
        <w:rPr>
          <w:rStyle w:val="Znakapoznpodarou"/>
          <w:rFonts w:eastAsiaTheme="majorEastAsia"/>
        </w:rPr>
        <w:footnoteReference w:id="50"/>
      </w:r>
    </w:p>
    <w:p w:rsidR="008122F3" w:rsidRPr="0085463F" w:rsidRDefault="008122F3" w:rsidP="008122F3">
      <w:pPr>
        <w:spacing w:after="240" w:line="276" w:lineRule="auto"/>
        <w:jc w:val="both"/>
      </w:pPr>
      <m:oMathPara>
        <m:oMath>
          <m:r>
            <w:rPr>
              <w:rFonts w:ascii="Cambria Math" w:hAnsi="Cambria Math"/>
              <w:sz w:val="28"/>
            </w:rPr>
            <m:t>forwardové body=</m:t>
          </m:r>
          <m:d>
            <m:dPr>
              <m:ctrlPr>
                <w:rPr>
                  <w:rFonts w:ascii="Cambria Math" w:hAnsi="Cambria Math"/>
                  <w:i/>
                  <w:sz w:val="28"/>
                </w:rPr>
              </m:ctrlPr>
            </m:dPr>
            <m:e>
              <m:f>
                <m:fPr>
                  <m:ctrlPr>
                    <w:rPr>
                      <w:rFonts w:ascii="Cambria Math" w:hAnsi="Cambria Math"/>
                      <w:i/>
                      <w:sz w:val="28"/>
                    </w:rPr>
                  </m:ctrlPr>
                </m:fPr>
                <m:num>
                  <m:r>
                    <w:rPr>
                      <w:rFonts w:ascii="Cambria Math" w:hAnsi="Cambria Math"/>
                      <w:sz w:val="28"/>
                    </w:rPr>
                    <m:t>1+</m:t>
                  </m:r>
                  <m:sSub>
                    <m:sSubPr>
                      <m:ctrlPr>
                        <w:rPr>
                          <w:rFonts w:ascii="Cambria Math" w:hAnsi="Cambria Math"/>
                          <w:i/>
                          <w:sz w:val="28"/>
                        </w:rPr>
                      </m:ctrlPr>
                    </m:sSubPr>
                    <m:e>
                      <m:r>
                        <w:rPr>
                          <w:rFonts w:ascii="Cambria Math" w:hAnsi="Cambria Math"/>
                          <w:sz w:val="28"/>
                        </w:rPr>
                        <m:t>i</m:t>
                      </m:r>
                    </m:e>
                    <m:sub>
                      <m:r>
                        <w:rPr>
                          <w:rFonts w:ascii="Cambria Math" w:hAnsi="Cambria Math"/>
                          <w:sz w:val="28"/>
                        </w:rPr>
                        <m:t>DM</m:t>
                      </m:r>
                    </m:sub>
                  </m:sSub>
                  <m:r>
                    <w:rPr>
                      <w:rFonts w:ascii="Cambria Math" w:hAnsi="Cambria Math"/>
                      <w:sz w:val="28"/>
                    </w:rPr>
                    <m:t>*t</m:t>
                  </m:r>
                </m:num>
                <m:den>
                  <m:r>
                    <w:rPr>
                      <w:rFonts w:ascii="Cambria Math" w:hAnsi="Cambria Math"/>
                      <w:sz w:val="28"/>
                    </w:rPr>
                    <m:t>1+</m:t>
                  </m:r>
                  <m:sSub>
                    <m:sSubPr>
                      <m:ctrlPr>
                        <w:rPr>
                          <w:rFonts w:ascii="Cambria Math" w:hAnsi="Cambria Math"/>
                          <w:i/>
                          <w:sz w:val="28"/>
                        </w:rPr>
                      </m:ctrlPr>
                    </m:sSubPr>
                    <m:e>
                      <m:r>
                        <w:rPr>
                          <w:rFonts w:ascii="Cambria Math" w:hAnsi="Cambria Math"/>
                          <w:sz w:val="28"/>
                        </w:rPr>
                        <m:t>i</m:t>
                      </m:r>
                    </m:e>
                    <m:sub>
                      <m:r>
                        <w:rPr>
                          <w:rFonts w:ascii="Cambria Math" w:hAnsi="Cambria Math"/>
                          <w:sz w:val="28"/>
                        </w:rPr>
                        <m:t>CM</m:t>
                      </m:r>
                    </m:sub>
                  </m:sSub>
                  <m:r>
                    <w:rPr>
                      <w:rFonts w:ascii="Cambria Math" w:hAnsi="Cambria Math"/>
                      <w:sz w:val="28"/>
                    </w:rPr>
                    <m:t>*t</m:t>
                  </m:r>
                </m:den>
              </m:f>
              <m:r>
                <w:rPr>
                  <w:rFonts w:ascii="Cambria Math" w:hAnsi="Cambria Math"/>
                  <w:sz w:val="28"/>
                </w:rPr>
                <m:t>-1</m:t>
              </m:r>
            </m:e>
          </m:d>
          <m:r>
            <w:rPr>
              <w:rFonts w:ascii="Cambria Math" w:hAnsi="Cambria Math"/>
              <w:sz w:val="28"/>
            </w:rPr>
            <m:t>*S</m:t>
          </m:r>
        </m:oMath>
      </m:oMathPara>
    </w:p>
    <w:p w:rsidR="00C35B58" w:rsidRDefault="008122F3" w:rsidP="00C35B58">
      <w:pPr>
        <w:pStyle w:val="Odstavecseseznamem"/>
        <w:spacing w:after="0"/>
        <w:ind w:left="0"/>
        <w:contextualSpacing w:val="0"/>
        <w:jc w:val="both"/>
        <w:rPr>
          <w:rFonts w:ascii="Times New Roman" w:hAnsi="Times New Roman" w:cs="Times New Roman"/>
          <w:sz w:val="24"/>
          <w:szCs w:val="24"/>
        </w:rPr>
      </w:pPr>
      <w:r w:rsidRPr="0085463F">
        <w:rPr>
          <w:rFonts w:ascii="Times New Roman" w:hAnsi="Times New Roman" w:cs="Times New Roman"/>
          <w:sz w:val="24"/>
          <w:szCs w:val="24"/>
        </w:rPr>
        <w:t>Kde:</w:t>
      </w:r>
      <w:r>
        <w:rPr>
          <w:rFonts w:ascii="Times New Roman" w:hAnsi="Times New Roman" w:cs="Times New Roman"/>
          <w:sz w:val="24"/>
          <w:szCs w:val="24"/>
        </w:rPr>
        <w:tab/>
      </w:r>
    </w:p>
    <w:p w:rsidR="008122F3" w:rsidRDefault="008122F3" w:rsidP="00C35B58">
      <w:pPr>
        <w:pStyle w:val="Odstavecseseznamem"/>
        <w:spacing w:after="0"/>
        <w:ind w:left="0" w:firstLine="708"/>
        <w:contextualSpacing w:val="0"/>
        <w:jc w:val="both"/>
        <w:rPr>
          <w:rFonts w:ascii="Times New Roman" w:hAnsi="Times New Roman" w:cs="Times New Roman"/>
          <w:sz w:val="24"/>
          <w:szCs w:val="24"/>
        </w:rPr>
      </w:pPr>
      <w:r w:rsidRPr="00C35B58">
        <w:rPr>
          <w:rFonts w:ascii="Times New Roman" w:hAnsi="Times New Roman" w:cs="Times New Roman"/>
          <w:i/>
          <w:sz w:val="24"/>
          <w:szCs w:val="24"/>
        </w:rPr>
        <w:t>S</w:t>
      </w:r>
      <w:r>
        <w:rPr>
          <w:rFonts w:ascii="Times New Roman" w:hAnsi="Times New Roman" w:cs="Times New Roman"/>
          <w:sz w:val="24"/>
          <w:szCs w:val="24"/>
        </w:rPr>
        <w:t xml:space="preserve"> </w:t>
      </w:r>
      <w:r>
        <w:rPr>
          <w:rFonts w:ascii="Times New Roman" w:hAnsi="Times New Roman" w:cs="Times New Roman"/>
          <w:sz w:val="24"/>
          <w:szCs w:val="24"/>
        </w:rPr>
        <w:tab/>
        <w:t xml:space="preserve">je aktuální spotový měnový kurz </w:t>
      </w:r>
    </w:p>
    <w:p w:rsidR="008122F3" w:rsidRDefault="008122F3" w:rsidP="00C35B58">
      <w:pPr>
        <w:spacing w:line="276" w:lineRule="auto"/>
        <w:jc w:val="both"/>
        <w:rPr>
          <w:rFonts w:eastAsiaTheme="minorEastAsia"/>
        </w:rPr>
      </w:pPr>
      <w:r>
        <w:tab/>
      </w:r>
      <m:oMath>
        <m:sSub>
          <m:sSubPr>
            <m:ctrlPr>
              <w:rPr>
                <w:rFonts w:ascii="Cambria Math" w:hAnsi="Cambria Math"/>
                <w:i/>
              </w:rPr>
            </m:ctrlPr>
          </m:sSubPr>
          <m:e>
            <m:r>
              <w:rPr>
                <w:rFonts w:ascii="Cambria Math" w:hAnsi="Cambria Math"/>
              </w:rPr>
              <m:t>i</m:t>
            </m:r>
          </m:e>
          <m:sub>
            <m:r>
              <w:rPr>
                <w:rFonts w:ascii="Cambria Math" w:hAnsi="Cambria Math"/>
              </w:rPr>
              <m:t>DM</m:t>
            </m:r>
          </m:sub>
        </m:sSub>
      </m:oMath>
      <w:r>
        <w:rPr>
          <w:rFonts w:eastAsiaTheme="minorEastAsia"/>
        </w:rPr>
        <w:tab/>
        <w:t>je úroková sazba v domácí měně</w:t>
      </w:r>
    </w:p>
    <w:p w:rsidR="008122F3" w:rsidRDefault="008122F3" w:rsidP="00C35B58">
      <w:pPr>
        <w:spacing w:line="276" w:lineRule="auto"/>
        <w:jc w:val="both"/>
        <w:rPr>
          <w:rFonts w:eastAsiaTheme="minorEastAsia"/>
        </w:rPr>
      </w:pPr>
      <w:r>
        <w:rPr>
          <w:rFonts w:eastAsiaTheme="minorEastAsia"/>
        </w:rPr>
        <w:tab/>
      </w: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CM</m:t>
            </m:r>
          </m:sub>
        </m:sSub>
      </m:oMath>
      <w:r>
        <w:rPr>
          <w:rFonts w:eastAsiaTheme="minorEastAsia"/>
        </w:rPr>
        <w:tab/>
        <w:t xml:space="preserve">je úroková sazba v cizí měně </w:t>
      </w:r>
    </w:p>
    <w:p w:rsidR="008122F3" w:rsidRDefault="008122F3" w:rsidP="00C35B58">
      <w:pPr>
        <w:spacing w:after="240" w:line="276" w:lineRule="auto"/>
        <w:ind w:firstLine="708"/>
        <w:jc w:val="both"/>
        <w:rPr>
          <w:rFonts w:eastAsiaTheme="minorEastAsia"/>
        </w:rPr>
      </w:pPr>
      <w:r w:rsidRPr="00C35B58">
        <w:rPr>
          <w:rFonts w:eastAsiaTheme="minorEastAsia"/>
          <w:i/>
        </w:rPr>
        <w:t xml:space="preserve">t </w:t>
      </w:r>
      <w:r>
        <w:rPr>
          <w:rFonts w:eastAsiaTheme="minorEastAsia"/>
        </w:rPr>
        <w:tab/>
        <w:t>je doba úročení</w:t>
      </w:r>
    </w:p>
    <w:p w:rsidR="008122F3" w:rsidRDefault="008122F3" w:rsidP="00C35B58">
      <w:pPr>
        <w:spacing w:after="240" w:line="276" w:lineRule="auto"/>
        <w:jc w:val="both"/>
      </w:pPr>
      <w:r>
        <w:t>Čím větší jsou rozdíly mezi úroko</w:t>
      </w:r>
      <w:r w:rsidR="00C35B58">
        <w:t>vými sazbami měn, tím větší je hodnota forwardových bodů</w:t>
      </w:r>
      <w:r>
        <w:t xml:space="preserve">, </w:t>
      </w:r>
      <w:r w:rsidR="00C35B58">
        <w:t xml:space="preserve">a </w:t>
      </w:r>
      <w:r>
        <w:t>tím jsou větší odchylky mezi forwardovým měnovým kurzem a aktuálním spotovým k</w:t>
      </w:r>
      <w:r w:rsidR="00C10C32">
        <w:t>urzem. To samé platí i pro</w:t>
      </w:r>
      <w:r>
        <w:t xml:space="preserve"> období od uzavření do vypořádání kontraktu.</w:t>
      </w:r>
    </w:p>
    <w:p w:rsidR="008122F3" w:rsidRDefault="008122F3" w:rsidP="00C35B58">
      <w:pPr>
        <w:spacing w:after="240" w:line="276" w:lineRule="auto"/>
        <w:jc w:val="both"/>
      </w:pPr>
      <w:r>
        <w:lastRenderedPageBreak/>
        <w:t>Pomocí forwardových bodů vypočítává Česká národní banka forwardové měnové kurzy pro</w:t>
      </w:r>
      <w:r w:rsidR="00EA6BC8">
        <w:t> </w:t>
      </w:r>
      <w:r w:rsidR="00447807">
        <w:t xml:space="preserve">měnové páry </w:t>
      </w:r>
      <w:r>
        <w:t>EUR/CZK a USD/CZK, a to tak, že forwardové body vydělí tisícem a</w:t>
      </w:r>
      <w:r w:rsidR="00447807">
        <w:t> </w:t>
      </w:r>
      <w:r>
        <w:t xml:space="preserve">výsledek přičte k aktuálním spotovému </w:t>
      </w:r>
      <w:r w:rsidR="00C35B58">
        <w:t xml:space="preserve">měnovému </w:t>
      </w:r>
      <w:r>
        <w:t xml:space="preserve">kurzu. Forwardové body </w:t>
      </w:r>
      <w:r w:rsidR="00C35B58">
        <w:t>Česká národní banka</w:t>
      </w:r>
      <w:r>
        <w:t xml:space="preserve"> nepočítá sama, nýbrž je získává prostřednictvím informačních agentur. Zveřejněnou hodnotou je pak aritmetický průměr z kotací nabídky a poptávky. Tyto hodnoty jsou Českou národní bankou zveřejňovány každý pracovní den a vyjadřují, jak se jednotlivé měny, respektive jejich forwardové body, obchodovaly na devizovém trhu v 11 hodin </w:t>
      </w:r>
      <w:r w:rsidR="00C10C32">
        <w:t>daného dne</w:t>
      </w:r>
      <w:r>
        <w:t>.</w:t>
      </w:r>
      <w:r>
        <w:rPr>
          <w:rStyle w:val="Znakapoznpodarou"/>
          <w:rFonts w:eastAsiaTheme="majorEastAsia"/>
        </w:rPr>
        <w:footnoteReference w:id="51"/>
      </w:r>
      <w:r>
        <w:t xml:space="preserve"> </w:t>
      </w:r>
    </w:p>
    <w:p w:rsidR="008122F3" w:rsidRDefault="008122F3" w:rsidP="00C35B58">
      <w:pPr>
        <w:pStyle w:val="Odstavecseseznamem"/>
        <w:spacing w:after="240"/>
        <w:jc w:val="both"/>
        <w:rPr>
          <w:rFonts w:ascii="Times New Roman" w:hAnsi="Times New Roman" w:cs="Times New Roman"/>
          <w:color w:val="008000"/>
          <w:sz w:val="24"/>
          <w:szCs w:val="24"/>
        </w:rPr>
      </w:pPr>
    </w:p>
    <w:p w:rsidR="008122F3" w:rsidRPr="00661E2F" w:rsidRDefault="008122F3" w:rsidP="008122F3">
      <w:pPr>
        <w:pStyle w:val="Odstavecseseznamem"/>
        <w:spacing w:after="240"/>
        <w:jc w:val="both"/>
        <w:rPr>
          <w:rFonts w:ascii="Times New Roman" w:hAnsi="Times New Roman" w:cs="Times New Roman"/>
          <w:sz w:val="24"/>
          <w:szCs w:val="24"/>
        </w:rPr>
      </w:pPr>
    </w:p>
    <w:p w:rsidR="00E124C3" w:rsidRDefault="00E124C3">
      <w:pPr>
        <w:suppressAutoHyphens w:val="0"/>
        <w:spacing w:after="200" w:line="276" w:lineRule="auto"/>
      </w:pPr>
      <w:r>
        <w:br w:type="page"/>
      </w:r>
    </w:p>
    <w:p w:rsidR="00E124C3" w:rsidRDefault="00E124C3" w:rsidP="007616BB">
      <w:pPr>
        <w:pStyle w:val="Nadpis1"/>
      </w:pPr>
      <w:bookmarkStart w:id="34" w:name="_Toc350268243"/>
      <w:bookmarkStart w:id="35" w:name="_Toc354393054"/>
      <w:r>
        <w:lastRenderedPageBreak/>
        <w:t>FU</w:t>
      </w:r>
      <w:r w:rsidRPr="00C0783B">
        <w:t>TURES</w:t>
      </w:r>
      <w:bookmarkEnd w:id="34"/>
      <w:bookmarkEnd w:id="35"/>
    </w:p>
    <w:p w:rsidR="00E124C3" w:rsidRPr="00E124C3" w:rsidRDefault="00E124C3" w:rsidP="00E124C3">
      <w:pPr>
        <w:spacing w:after="240" w:line="276" w:lineRule="auto"/>
        <w:rPr>
          <w:lang w:eastAsia="cs-CZ"/>
        </w:rPr>
      </w:pPr>
    </w:p>
    <w:p w:rsidR="00E124C3" w:rsidRPr="005C2FDD" w:rsidRDefault="00E124C3" w:rsidP="00E124C3">
      <w:pPr>
        <w:spacing w:after="240" w:line="276" w:lineRule="auto"/>
        <w:jc w:val="both"/>
      </w:pPr>
      <w:r w:rsidRPr="005C2FDD">
        <w:t>Futures jsou termínové kontrakty, u nichž se strany obchodu zavazují v předem stanovenou dobu v budoucnosti realizovat obchod s určeným podkladovým aktivem v daném množství, sjednaným způsobem</w:t>
      </w:r>
      <w:r>
        <w:t xml:space="preserve">. Sjednáním futures stranám vzniká povinnost splnit smluvní podmínky obchodu. </w:t>
      </w:r>
      <w:r w:rsidRPr="005C2FDD">
        <w:t>Touto charakteristikou jsou futures shodné s forwardy. Futures jsou však, na rozdíl od forwardů, standardizovanými obchodními instrumenty, které se obchodují na</w:t>
      </w:r>
      <w:r>
        <w:t> </w:t>
      </w:r>
      <w:r w:rsidRPr="005C2FDD">
        <w:t xml:space="preserve">specializovaných termínových burzách. </w:t>
      </w:r>
    </w:p>
    <w:p w:rsidR="00E124C3" w:rsidRDefault="00E124C3" w:rsidP="00E124C3">
      <w:pPr>
        <w:spacing w:after="240" w:line="276" w:lineRule="auto"/>
        <w:jc w:val="both"/>
      </w:pPr>
      <w:r>
        <w:t>Futures vznikly právě z forward kontrakt</w:t>
      </w:r>
      <w:r w:rsidR="007C6219">
        <w:t>ů. Důvodem jejich vyčlenění byl záměr</w:t>
      </w:r>
      <w:r>
        <w:t xml:space="preserve"> eliminovat úvěrové riziko</w:t>
      </w:r>
      <w:r w:rsidR="007B098D">
        <w:rPr>
          <w:rStyle w:val="Znakapoznpodarou"/>
        </w:rPr>
        <w:footnoteReference w:id="52"/>
      </w:r>
      <w:r>
        <w:t xml:space="preserve">, které strany u forward kontraktů podstupují. U futures kontraktů je toto riziko </w:t>
      </w:r>
      <w:r w:rsidR="007C6219">
        <w:t>odstraněno</w:t>
      </w:r>
      <w:r>
        <w:t xml:space="preserve"> díky clearingovému centru termínové burzy. Dalším výz</w:t>
      </w:r>
      <w:r w:rsidR="007C6219">
        <w:t>namným důvodem vzniku futures byla</w:t>
      </w:r>
      <w:r>
        <w:t xml:space="preserve"> možnost kdykoli odstoupit od kontraktu díky li</w:t>
      </w:r>
      <w:r w:rsidR="007C6219">
        <w:t>kviditě termínových burz. Třetím důvodem,</w:t>
      </w:r>
      <w:r w:rsidR="007B098D">
        <w:t xml:space="preserve"> který uvádí </w:t>
      </w:r>
      <w:r>
        <w:t>Dvořák</w:t>
      </w:r>
      <w:r w:rsidR="007B098D">
        <w:t xml:space="preserve"> (2008)</w:t>
      </w:r>
      <w:r>
        <w:rPr>
          <w:rStyle w:val="Znakapoznpodarou"/>
          <w:rFonts w:eastAsiaTheme="majorEastAsia"/>
        </w:rPr>
        <w:footnoteReference w:id="53"/>
      </w:r>
      <w:r>
        <w:t>, je možnost průběžného zúčtování zisků a</w:t>
      </w:r>
      <w:r w:rsidR="00EA6BC8">
        <w:t> </w:t>
      </w:r>
      <w:r w:rsidR="00C6367B">
        <w:t>ztrát.</w:t>
      </w:r>
    </w:p>
    <w:p w:rsidR="00E124C3" w:rsidRDefault="00E124C3" w:rsidP="00E124C3">
      <w:pPr>
        <w:spacing w:after="240" w:line="276" w:lineRule="auto"/>
        <w:jc w:val="both"/>
      </w:pPr>
      <w:r>
        <w:t>Ke standardizaci futures kontraktů dochází prostřednictvím speciální termínové burzy. Burza prakticky určuje všechny podmínky obchodů, kromě ceny kontraktů</w:t>
      </w:r>
      <w:r w:rsidR="00176990">
        <w:rPr>
          <w:rStyle w:val="Znakapoznpodarou"/>
        </w:rPr>
        <w:footnoteReference w:id="54"/>
      </w:r>
      <w:r w:rsidR="007C6219">
        <w:t>.</w:t>
      </w:r>
      <w:r w:rsidR="00176990">
        <w:t xml:space="preserve"> </w:t>
      </w:r>
      <w:r>
        <w:t>D</w:t>
      </w:r>
      <w:r w:rsidR="007C6219">
        <w:t>oba splatnosti futures kontraktů</w:t>
      </w:r>
      <w:r>
        <w:t xml:space="preserve"> bývá zpravidla stanovena do doby jednoho roku, maximálně do dvou let</w:t>
      </w:r>
      <w:r w:rsidR="007C6219">
        <w:t xml:space="preserve"> od jejich sjednání.</w:t>
      </w:r>
      <w:r>
        <w:t xml:space="preserve"> Termínová burza vydává na jedno podkladové aktivum několik futures kontraktů s různou, odstupňovanou dobou splatnosti. Standardizovaným datem dodávky je </w:t>
      </w:r>
      <w:r w:rsidR="00176990">
        <w:t xml:space="preserve">často </w:t>
      </w:r>
      <w:r>
        <w:t>třetí pátek</w:t>
      </w:r>
      <w:r w:rsidR="007223E6">
        <w:rPr>
          <w:rStyle w:val="Znakapoznpodarou"/>
        </w:rPr>
        <w:footnoteReference w:id="55"/>
      </w:r>
      <w:r>
        <w:t xml:space="preserve"> v měsících březen, červen, září či prosinec</w:t>
      </w:r>
      <w:r w:rsidR="00C6367B">
        <w:rPr>
          <w:rStyle w:val="Znakapoznpodarou"/>
          <w:rFonts w:eastAsiaTheme="majorEastAsia"/>
        </w:rPr>
        <w:footnoteReference w:id="56"/>
      </w:r>
      <w:r>
        <w:t>. Pokud dojde k vypršení doby splatnosti jednoho, časově nejbližšího kontraktu, termínová burza za něj ihned vypíše nový futures kontrakt, se shodnými podmínkami jako u skončeného kontraktu. Nově vypsaný futures kontrakt se</w:t>
      </w:r>
      <w:r w:rsidR="00176990">
        <w:t xml:space="preserve"> tak</w:t>
      </w:r>
      <w:r>
        <w:t xml:space="preserve"> stává časově nejvzdálenějším kontraktem.</w:t>
      </w:r>
      <w:r>
        <w:rPr>
          <w:rStyle w:val="Znakapoznpodarou"/>
          <w:rFonts w:eastAsiaTheme="majorEastAsia"/>
        </w:rPr>
        <w:footnoteReference w:id="57"/>
      </w:r>
    </w:p>
    <w:p w:rsidR="00A008CF" w:rsidRDefault="00A008CF" w:rsidP="00E124C3">
      <w:pPr>
        <w:spacing w:after="240" w:line="276" w:lineRule="auto"/>
        <w:jc w:val="both"/>
      </w:pPr>
      <w:r>
        <w:t>Cena futures kontraktu je stanovena na stejném principu jako forwardy. Lze tedy tvrdit, že futures a forwardy kontrakty se stejným podkladovým aktivem a stejným datem splatnosti budou mít stejnou cenu, tj. stejný forwardový, resp. futures měnový kurz.</w:t>
      </w:r>
      <w:r>
        <w:rPr>
          <w:rStyle w:val="Znakapoznpodarou"/>
        </w:rPr>
        <w:footnoteReference w:id="58"/>
      </w:r>
    </w:p>
    <w:p w:rsidR="00E124C3" w:rsidRDefault="007C6219" w:rsidP="00E124C3">
      <w:pPr>
        <w:spacing w:after="240" w:line="276" w:lineRule="auto"/>
        <w:jc w:val="both"/>
        <w:rPr>
          <w:color w:val="008000"/>
        </w:rPr>
      </w:pPr>
      <w:r>
        <w:t>Termínové burzy (j</w:t>
      </w:r>
      <w:r w:rsidR="00E124C3">
        <w:t>a</w:t>
      </w:r>
      <w:r>
        <w:t>kož</w:t>
      </w:r>
      <w:r w:rsidR="00E124C3">
        <w:t xml:space="preserve"> burzy obecně</w:t>
      </w:r>
      <w:r>
        <w:t>)</w:t>
      </w:r>
      <w:r w:rsidR="00E124C3">
        <w:t xml:space="preserve"> jsou vysoce likvidní. Díky tomu p</w:t>
      </w:r>
      <w:r w:rsidR="00E124C3" w:rsidRPr="00F231B7">
        <w:t>ři obchodování s</w:t>
      </w:r>
      <w:r w:rsidR="00EA6BC8">
        <w:t> </w:t>
      </w:r>
      <w:r w:rsidR="00E124C3" w:rsidRPr="00F231B7">
        <w:t>futures kontrakty na</w:t>
      </w:r>
      <w:r w:rsidR="00E124C3">
        <w:t xml:space="preserve"> těchto</w:t>
      </w:r>
      <w:r w:rsidR="00E124C3" w:rsidRPr="00F231B7">
        <w:t xml:space="preserve"> burzách investorům nevzniká automaticky povinnost fyzicky </w:t>
      </w:r>
      <w:r w:rsidR="00E124C3" w:rsidRPr="00F231B7">
        <w:lastRenderedPageBreak/>
        <w:t xml:space="preserve">dodat nebo naopak převzít podkladové aktivum. </w:t>
      </w:r>
      <w:r w:rsidR="00E124C3">
        <w:t xml:space="preserve">Díky likviditě burz lze otevřenou </w:t>
      </w:r>
      <w:r w:rsidR="00E124C3" w:rsidRPr="00F231B7">
        <w:t>pozici prakticky kdykoli uzavřít, tj. koupit či prodat opačnou pozici ke svému obchodu, a</w:t>
      </w:r>
      <w:r w:rsidR="00C6367B">
        <w:t> </w:t>
      </w:r>
      <w:r w:rsidR="00E124C3" w:rsidRPr="00F231B7">
        <w:t>tím</w:t>
      </w:r>
      <w:r w:rsidR="00C6367B">
        <w:t> </w:t>
      </w:r>
      <w:r w:rsidR="00E124C3" w:rsidRPr="00F231B7">
        <w:t>ukončit obchodování s daným kontraktem</w:t>
      </w:r>
      <w:r w:rsidR="00C6367B">
        <w:rPr>
          <w:rStyle w:val="Znakapoznpodarou"/>
          <w:rFonts w:eastAsiaTheme="majorEastAsia"/>
        </w:rPr>
        <w:footnoteReference w:id="59"/>
      </w:r>
      <w:r w:rsidR="00E124C3" w:rsidRPr="00F231B7">
        <w:t>.</w:t>
      </w:r>
      <w:r w:rsidR="00E124C3">
        <w:t xml:space="preserve"> Likvidita burz je dána právě standardizací futures obchodů. </w:t>
      </w:r>
      <w:r w:rsidR="00E124C3" w:rsidRPr="00F231B7">
        <w:t xml:space="preserve">Díky vysoké likviditě </w:t>
      </w:r>
      <w:r w:rsidR="00E124C3">
        <w:t>futures pak</w:t>
      </w:r>
      <w:r w:rsidR="00E124C3" w:rsidRPr="00F231B7">
        <w:t xml:space="preserve"> </w:t>
      </w:r>
      <w:r w:rsidR="00B2687A">
        <w:t xml:space="preserve">na termínové burze </w:t>
      </w:r>
      <w:r w:rsidR="00E124C3" w:rsidRPr="00F231B7">
        <w:t>kromě zajišťovatelů ve</w:t>
      </w:r>
      <w:r w:rsidR="00EA6BC8">
        <w:t> </w:t>
      </w:r>
      <w:r w:rsidR="00E124C3" w:rsidRPr="00F231B7">
        <w:t>velkém počtu obchodují také spekulanti</w:t>
      </w:r>
      <w:r w:rsidR="00E124C3" w:rsidRPr="00BA0868">
        <w:rPr>
          <w:rStyle w:val="Znakapoznpodarou"/>
          <w:rFonts w:eastAsiaTheme="majorEastAsia"/>
        </w:rPr>
        <w:footnoteReference w:id="60"/>
      </w:r>
      <w:r w:rsidR="00E124C3" w:rsidRPr="00F231B7">
        <w:t>, jejichž účast na obchodování s kontrakty typu forward byla prakticky vyloučena</w:t>
      </w:r>
      <w:r w:rsidR="00C6367B">
        <w:rPr>
          <w:rStyle w:val="Znakapoznpodarou"/>
        </w:rPr>
        <w:footnoteReference w:id="61"/>
      </w:r>
      <w:r w:rsidR="00E124C3" w:rsidRPr="00F231B7">
        <w:t>.</w:t>
      </w:r>
      <w:r w:rsidR="00E124C3" w:rsidRPr="00F231B7">
        <w:rPr>
          <w:color w:val="008000"/>
        </w:rPr>
        <w:t xml:space="preserve"> </w:t>
      </w:r>
    </w:p>
    <w:p w:rsidR="00E94FE8" w:rsidRDefault="00E94FE8" w:rsidP="00E94FE8">
      <w:pPr>
        <w:spacing w:after="240" w:line="276" w:lineRule="auto"/>
        <w:jc w:val="both"/>
      </w:pPr>
      <w:r w:rsidRPr="00E94FE8">
        <w:t>Pokud není kontrakt uzavřen do doby splatnosti, dochází k vypořádání při splatnosti</w:t>
      </w:r>
      <w:r w:rsidRPr="00E94FE8">
        <w:rPr>
          <w:rStyle w:val="Znakapoznpodarou"/>
          <w:rFonts w:eastAsiaTheme="majorEastAsia"/>
        </w:rPr>
        <w:footnoteReference w:id="62"/>
      </w:r>
      <w:r w:rsidRPr="00E94FE8">
        <w:t>. To</w:t>
      </w:r>
      <w:r>
        <w:t> </w:t>
      </w:r>
      <w:r w:rsidRPr="00E94FE8">
        <w:t>může proběhnout formou finančního nebo fyzického dodání. V případě finančního vypořádání dochází pouze k vyrovnání rozdílů mezi futures cenou a spotovou cenou podkladového aktiva. Jak bude dále vysvětleno, toto vypořádání probíhá ka</w:t>
      </w:r>
      <w:r w:rsidR="00876213">
        <w:t>ždý den a v době splatnosti</w:t>
      </w:r>
      <w:r w:rsidRPr="00E94FE8">
        <w:t xml:space="preserve"> dojde k vyrovnání </w:t>
      </w:r>
      <w:r w:rsidR="00876213">
        <w:t xml:space="preserve">pozic </w:t>
      </w:r>
      <w:r w:rsidRPr="00E94FE8">
        <w:t>p</w:t>
      </w:r>
      <w:r>
        <w:t xml:space="preserve">ouze za poslední den. Fyzické dodání představuje skutečnou výměnu podkladového aktiva, zpravidla </w:t>
      </w:r>
      <w:r w:rsidR="00C6367B">
        <w:t xml:space="preserve">se jedná o </w:t>
      </w:r>
      <w:r>
        <w:t>komodit</w:t>
      </w:r>
      <w:r w:rsidR="00C6367B">
        <w:t>y</w:t>
      </w:r>
      <w:r>
        <w:t xml:space="preserve">. </w:t>
      </w:r>
      <w:r w:rsidR="007C6219">
        <w:t>J</w:t>
      </w:r>
      <w:r>
        <w:t xml:space="preserve">e </w:t>
      </w:r>
      <w:r w:rsidR="007C6219">
        <w:t xml:space="preserve">však </w:t>
      </w:r>
      <w:r>
        <w:t>méně časté</w:t>
      </w:r>
      <w:r w:rsidR="007C6219">
        <w:t>, neboť</w:t>
      </w:r>
      <w:r w:rsidR="00EA6BC8">
        <w:t> </w:t>
      </w:r>
      <w:r w:rsidR="007C6219">
        <w:t>ne</w:t>
      </w:r>
      <w:r w:rsidR="00EA6BC8">
        <w:t> </w:t>
      </w:r>
      <w:r w:rsidR="007C6219">
        <w:t>každý investora má možnost</w:t>
      </w:r>
      <w:r>
        <w:t xml:space="preserve"> převzít či dodat </w:t>
      </w:r>
      <w:r w:rsidR="00C6367B">
        <w:t>dané podkladové aktivum</w:t>
      </w:r>
      <w:r>
        <w:t>.</w:t>
      </w:r>
      <w:r w:rsidR="00876213">
        <w:t xml:space="preserve"> </w:t>
      </w:r>
    </w:p>
    <w:p w:rsidR="00E124C3" w:rsidRPr="00AA3262" w:rsidRDefault="00E124C3" w:rsidP="00E124C3">
      <w:pPr>
        <w:pStyle w:val="Odstavecseseznamem"/>
        <w:spacing w:after="240"/>
        <w:ind w:left="1440"/>
        <w:jc w:val="both"/>
        <w:rPr>
          <w:rFonts w:ascii="Times New Roman" w:hAnsi="Times New Roman" w:cs="Times New Roman"/>
          <w:sz w:val="24"/>
          <w:szCs w:val="24"/>
        </w:rPr>
      </w:pPr>
    </w:p>
    <w:p w:rsidR="00E124C3" w:rsidRDefault="00175F8A" w:rsidP="00C27CB0">
      <w:pPr>
        <w:pStyle w:val="Nadpis2"/>
      </w:pPr>
      <w:bookmarkStart w:id="36" w:name="_Toc354393055"/>
      <w:r>
        <w:t>Obchodování na derivátových burzách</w:t>
      </w:r>
      <w:bookmarkEnd w:id="36"/>
    </w:p>
    <w:p w:rsidR="003C6311" w:rsidRDefault="00E124C3" w:rsidP="00E124C3">
      <w:pPr>
        <w:spacing w:after="240" w:line="276" w:lineRule="auto"/>
        <w:jc w:val="both"/>
      </w:pPr>
      <w:r w:rsidRPr="00C91114">
        <w:t>Specializované termínové burzy vstupují mezi strany obc</w:t>
      </w:r>
      <w:r w:rsidR="003C6311">
        <w:t>hodu, které se vzájemně neznají.</w:t>
      </w:r>
      <w:r w:rsidRPr="00C91114">
        <w:t xml:space="preserve"> Díky </w:t>
      </w:r>
      <w:r w:rsidR="003C6311">
        <w:t xml:space="preserve">derivátové burze </w:t>
      </w:r>
      <w:r w:rsidRPr="00C91114">
        <w:t>je</w:t>
      </w:r>
      <w:r>
        <w:t xml:space="preserve"> tak</w:t>
      </w:r>
      <w:r w:rsidRPr="00C91114">
        <w:t xml:space="preserve"> anonymita stran obchodu zaručena.</w:t>
      </w:r>
      <w:r>
        <w:rPr>
          <w:rStyle w:val="Znakapoznpodarou"/>
          <w:rFonts w:eastAsiaTheme="majorEastAsia"/>
        </w:rPr>
        <w:footnoteReference w:id="63"/>
      </w:r>
      <w:r>
        <w:t xml:space="preserve"> </w:t>
      </w:r>
      <w:r w:rsidRPr="00C91114">
        <w:t xml:space="preserve">Z právního hlediska jednotliví investoři obchodují právě s burzou, nikoli s jiným investorem. </w:t>
      </w:r>
    </w:p>
    <w:p w:rsidR="006E5B98" w:rsidRPr="003E43F9" w:rsidRDefault="006E5B98" w:rsidP="006E5B98">
      <w:pPr>
        <w:spacing w:after="240" w:line="276" w:lineRule="auto"/>
        <w:jc w:val="both"/>
      </w:pPr>
      <w:r>
        <w:t xml:space="preserve">Oproti klasickým trhům, na trhu s termínovými kontrakty platí, že celková suma koupených kontraktů se musí rovnat celkové sumě kontraktů prodaných. Ukazatel vyjadřující počet dlouhých, či ekvivalentně krátkých pozic, se nazývá </w:t>
      </w:r>
      <w:r w:rsidRPr="007C6219">
        <w:rPr>
          <w:i/>
        </w:rPr>
        <w:t>„open interest“</w:t>
      </w:r>
      <w:r>
        <w:t xml:space="preserve">. Pro vývoj této hodnoty platí, že na počátku obchodování s konkrétním futures kontraktem, tedy po jeho vypsání burzou, dochází </w:t>
      </w:r>
      <w:r w:rsidR="00F07151">
        <w:t xml:space="preserve">zpravidla </w:t>
      </w:r>
      <w:r>
        <w:t xml:space="preserve">pouze k malým počtům obchodů. Jakmile však dojde ke splatnosti časově předcházejícího kontraktu a </w:t>
      </w:r>
      <w:r w:rsidR="00F07151">
        <w:t>tento</w:t>
      </w:r>
      <w:r>
        <w:t xml:space="preserve"> konkrétní futures kontrakt se tak stane kontraktem s nejbližší dobou splatnosti, dojde k výraznému navýšení počtu otevřených pozic. S blížící se</w:t>
      </w:r>
      <w:r w:rsidR="00EA6BC8">
        <w:t> </w:t>
      </w:r>
      <w:r>
        <w:t>dobou splatnosti se pak hodnota open interes</w:t>
      </w:r>
      <w:r w:rsidR="00077D27">
        <w:t>t</w:t>
      </w:r>
      <w:r>
        <w:t xml:space="preserve"> opět rapidně snižuje. Tento pokles je</w:t>
      </w:r>
      <w:r w:rsidR="00EA6BC8">
        <w:t> </w:t>
      </w:r>
      <w:r>
        <w:t>doprovázen růstem volatility kurzu kontraktu.</w:t>
      </w:r>
      <w:r>
        <w:rPr>
          <w:rStyle w:val="Znakapoznpodarou"/>
          <w:rFonts w:eastAsiaTheme="majorEastAsia"/>
        </w:rPr>
        <w:footnoteReference w:id="64"/>
      </w:r>
    </w:p>
    <w:p w:rsidR="00E124C3" w:rsidRDefault="00E124C3" w:rsidP="00E124C3">
      <w:pPr>
        <w:spacing w:after="240" w:line="276" w:lineRule="auto"/>
        <w:jc w:val="both"/>
      </w:pPr>
      <w:r w:rsidRPr="00C91114">
        <w:lastRenderedPageBreak/>
        <w:t>Garanci vypořádání obchodů pro burzu zajišťuje clearingové centrum</w:t>
      </w:r>
      <w:r w:rsidR="00D306E1">
        <w:t xml:space="preserve">. Toto centrum </w:t>
      </w:r>
      <w:r w:rsidRPr="00C91114">
        <w:t>zaujímá opačnou pozici pro všechny obchodníky. Pro kupujícího</w:t>
      </w:r>
      <w:r>
        <w:t xml:space="preserve"> futures</w:t>
      </w:r>
      <w:r w:rsidRPr="00C91114">
        <w:t xml:space="preserve"> je tedy prodávajícím a</w:t>
      </w:r>
      <w:r w:rsidR="00233476">
        <w:t> </w:t>
      </w:r>
      <w:r w:rsidRPr="00C91114">
        <w:t>pro</w:t>
      </w:r>
      <w:r w:rsidR="00233476">
        <w:t> </w:t>
      </w:r>
      <w:r w:rsidRPr="00C91114">
        <w:t xml:space="preserve">prodávajícího futures vystupuje jako kupující. </w:t>
      </w:r>
      <w:r w:rsidR="00D306E1" w:rsidRPr="00C91114">
        <w:t>Každému obchodníkovi na burze vznikají závazky pouze vůči clearingovému centru.</w:t>
      </w:r>
      <w:r w:rsidR="00D306E1">
        <w:rPr>
          <w:rStyle w:val="Znakapoznpodarou"/>
          <w:rFonts w:eastAsiaTheme="majorEastAsia"/>
        </w:rPr>
        <w:footnoteReference w:id="65"/>
      </w:r>
      <w:r w:rsidR="00D306E1" w:rsidRPr="00C91114">
        <w:t xml:space="preserve"> </w:t>
      </w:r>
      <w:r w:rsidRPr="00C91114">
        <w:t>Nelze však říc</w:t>
      </w:r>
      <w:r w:rsidR="00077D27">
        <w:t>i</w:t>
      </w:r>
      <w:r w:rsidRPr="00C91114">
        <w:t xml:space="preserve">, že clearingové centrum reálně zaujímá a otevírá nějakou pozici, pouze vstupuje mezi strany kontraktu. </w:t>
      </w:r>
      <w:r w:rsidR="00D306E1">
        <w:t>Futures kontrakt vzniká, pouze pokud se na termínové burze sejdou shodné příkazy k provedení obchodu. Toto</w:t>
      </w:r>
      <w:r w:rsidR="00EA6BC8">
        <w:t> </w:t>
      </w:r>
      <w:r w:rsidR="00D306E1">
        <w:t xml:space="preserve">spárování obchodů se nazývá </w:t>
      </w:r>
      <w:r w:rsidR="00D306E1" w:rsidRPr="00044F0F">
        <w:rPr>
          <w:i/>
        </w:rPr>
        <w:t>„matching“</w:t>
      </w:r>
      <w:r w:rsidR="00D306E1">
        <w:t xml:space="preserve">. </w:t>
      </w:r>
    </w:p>
    <w:p w:rsidR="00E124C3" w:rsidRPr="00C91114" w:rsidRDefault="00E124C3" w:rsidP="00E124C3">
      <w:pPr>
        <w:spacing w:after="240" w:line="276" w:lineRule="auto"/>
        <w:jc w:val="both"/>
      </w:pPr>
      <w:r w:rsidRPr="00C91114">
        <w:t>Při otevření pozice kupující futures kontraktu neplatí v daný moment prodávajíc</w:t>
      </w:r>
      <w:r w:rsidR="005D2362">
        <w:t>ímu cenu tohoto kontraktu, nedochází k žádným finančním ani fyzickým přesunům</w:t>
      </w:r>
      <w:r w:rsidRPr="00C91114">
        <w:t>. K vypořádání dochází až při splatnosti kontraktu. Z tohoto důvodu při obchodování s futures kontrakty vzniká riziko, že subjekty obchodu nedostojí svým závazkům. Právě z těchto pří</w:t>
      </w:r>
      <w:r>
        <w:t>čin vstupuje mezi strany obchodu</w:t>
      </w:r>
      <w:r w:rsidRPr="00C91114">
        <w:t xml:space="preserve"> clearingové centrum.</w:t>
      </w:r>
    </w:p>
    <w:p w:rsidR="00E124C3" w:rsidRDefault="00E124C3" w:rsidP="00E124C3">
      <w:pPr>
        <w:spacing w:after="240" w:line="276" w:lineRule="auto"/>
        <w:jc w:val="both"/>
      </w:pPr>
      <w:r>
        <w:t>Clearingové centrum garantuje, že každý z futures obchodů bude vypořádán, tedy</w:t>
      </w:r>
      <w:r w:rsidR="00233476">
        <w:t> </w:t>
      </w:r>
      <w:r>
        <w:t>že</w:t>
      </w:r>
      <w:r w:rsidR="00EA6BC8">
        <w:t> </w:t>
      </w:r>
      <w:r>
        <w:t xml:space="preserve">jednotliví obchodníci dostojí svým závazkům. Dosahuje toho požadavkem na každého obchodníka, aby před otevřením pozice na burze složil takzvané počáteční </w:t>
      </w:r>
      <w:r w:rsidRPr="007A4BB2">
        <w:t>depozitum</w:t>
      </w:r>
      <w:r>
        <w:t xml:space="preserve">, jinak nazývané také jako </w:t>
      </w:r>
      <w:r w:rsidRPr="006E5B98">
        <w:t>počáteční marže</w:t>
      </w:r>
      <w:r>
        <w:rPr>
          <w:rStyle w:val="Znakapoznpodarou"/>
          <w:rFonts w:eastAsiaTheme="majorEastAsia"/>
        </w:rPr>
        <w:footnoteReference w:id="66"/>
      </w:r>
      <w:r w:rsidRPr="007A4BB2">
        <w:t>.</w:t>
      </w:r>
      <w:r>
        <w:t xml:space="preserve"> Toto depozitum funguje jako záruka, že </w:t>
      </w:r>
      <w:r w:rsidR="006E5B98">
        <w:t>bude daný termínový kontrakt</w:t>
      </w:r>
      <w:r>
        <w:t xml:space="preserve"> splacen. Obchodník počáteční marži vkládá na </w:t>
      </w:r>
      <w:r w:rsidR="00077D27">
        <w:t xml:space="preserve">tzv. </w:t>
      </w:r>
      <w:r>
        <w:t>maržový účet, spravovaný clearingovým centrem. Výši počátečního depozita stanovuje clearingové centrum</w:t>
      </w:r>
      <w:r w:rsidR="006E5B98">
        <w:t xml:space="preserve">. </w:t>
      </w:r>
      <w:r>
        <w:t>Pro sta</w:t>
      </w:r>
      <w:r w:rsidR="006E5B98">
        <w:t xml:space="preserve">novení výše počáteční marže </w:t>
      </w:r>
      <w:r>
        <w:t>platí, že čím vyšší je volatilita a s tím také rizikovost podkladového aktiva, tím je po investorovi požadována větší suma počáteční marže.</w:t>
      </w:r>
      <w:r>
        <w:rPr>
          <w:rStyle w:val="Znakapoznpodarou"/>
          <w:rFonts w:eastAsiaTheme="majorEastAsia"/>
        </w:rPr>
        <w:footnoteReference w:id="67"/>
      </w:r>
      <w:r>
        <w:t xml:space="preserve"> Svou vkladovou povinnost může investor splatit buď penězi, nebo také bankovním akreditivem, k</w:t>
      </w:r>
      <w:r w:rsidR="00077D27">
        <w:t>rátkodobými státními dluhopisy či</w:t>
      </w:r>
      <w:r>
        <w:t xml:space="preserve"> jinými cennými </w:t>
      </w:r>
      <w:r w:rsidRPr="00882778">
        <w:t>papíry.</w:t>
      </w:r>
      <w:r w:rsidRPr="00882778">
        <w:rPr>
          <w:rStyle w:val="Znakapoznpodarou"/>
          <w:rFonts w:eastAsiaTheme="majorEastAsia"/>
        </w:rPr>
        <w:footnoteReference w:id="68"/>
      </w:r>
    </w:p>
    <w:p w:rsidR="006E5B98" w:rsidRDefault="006E5B98" w:rsidP="006E5B98">
      <w:pPr>
        <w:spacing w:after="240" w:line="276" w:lineRule="auto"/>
        <w:jc w:val="both"/>
      </w:pPr>
      <w:r>
        <w:t xml:space="preserve">Na maržovém účtu se zaznamenávají denní pohyby plynoucí z jednotlivých pozic obchodníka. Dochází k dennímu </w:t>
      </w:r>
      <w:r w:rsidRPr="006E5B98">
        <w:t>vypořádání všech zisků a ztrát</w:t>
      </w:r>
      <w:r>
        <w:t>, které se zaznamenávají ve</w:t>
      </w:r>
      <w:r w:rsidR="00233476">
        <w:t> </w:t>
      </w:r>
      <w:r>
        <w:t xml:space="preserve">prospěch či na vrub maržového účtu. Toto každodenní vypořádání </w:t>
      </w:r>
      <w:r w:rsidR="00077D27">
        <w:t>lze</w:t>
      </w:r>
      <w:r>
        <w:t xml:space="preserve"> také chápat tak, že</w:t>
      </w:r>
      <w:r w:rsidR="00233476">
        <w:t> </w:t>
      </w:r>
      <w:r>
        <w:t>každý den na konci burzovního obchodování zdánlivě dochází k uzavření všech pozic a</w:t>
      </w:r>
      <w:r w:rsidR="00233476">
        <w:t> </w:t>
      </w:r>
      <w:r>
        <w:t>k jejich vypořádání. S dalším pracovním dnem se pak všechny pozice opět otevřou. Pro</w:t>
      </w:r>
      <w:r w:rsidR="00233476">
        <w:t> </w:t>
      </w:r>
      <w:r>
        <w:t>stanovení zisků a ztrát při denním vypořádání se používají závěrečné kurzy burzovního obchodování, které jsou stanoveny průměrem kurzů, za které byl futures kontrakt obchodován před ukončením obchodování.</w:t>
      </w:r>
      <w:r>
        <w:rPr>
          <w:rStyle w:val="Znakapoznpodarou"/>
          <w:rFonts w:eastAsiaTheme="majorEastAsia"/>
        </w:rPr>
        <w:footnoteReference w:id="69"/>
      </w:r>
    </w:p>
    <w:p w:rsidR="001637AD" w:rsidRDefault="006E5B98" w:rsidP="001637AD">
      <w:pPr>
        <w:spacing w:after="240" w:line="276" w:lineRule="auto"/>
        <w:jc w:val="both"/>
      </w:pPr>
      <w:r>
        <w:t>Aby došlo k</w:t>
      </w:r>
      <w:r w:rsidR="00077D27">
        <w:t> ochraně před rizikem prostřednictvím clearingového centra</w:t>
      </w:r>
      <w:r>
        <w:t>, nestačí pouze splatit počáteční marži. Pro každý obchod je dána hranice, pod kterou vklad na ma</w:t>
      </w:r>
      <w:r w:rsidR="00077D27">
        <w:t>ržovém účtu nesmí klesnout. Tato hodnota se nazývá</w:t>
      </w:r>
      <w:r>
        <w:t xml:space="preserve"> </w:t>
      </w:r>
      <w:r w:rsidRPr="006E5B98">
        <w:t>udržovací marž</w:t>
      </w:r>
      <w:r w:rsidR="00077D27">
        <w:t>e</w:t>
      </w:r>
      <w:r w:rsidRPr="006E5B98">
        <w:t>.</w:t>
      </w:r>
      <w:r w:rsidRPr="006E5B98">
        <w:rPr>
          <w:rStyle w:val="Znakapoznpodarou"/>
          <w:rFonts w:eastAsiaTheme="majorEastAsia"/>
        </w:rPr>
        <w:footnoteReference w:id="70"/>
      </w:r>
      <w:r>
        <w:t xml:space="preserve"> Pokud vklad na maržovém účtu </w:t>
      </w:r>
      <w:r>
        <w:lastRenderedPageBreak/>
        <w:t>díky nepříznivému pohybu cen klesne pod udržovací marži</w:t>
      </w:r>
      <w:r>
        <w:rPr>
          <w:rStyle w:val="Znakapoznpodarou"/>
          <w:rFonts w:eastAsiaTheme="majorEastAsia"/>
        </w:rPr>
        <w:footnoteReference w:id="71"/>
      </w:r>
      <w:r>
        <w:t xml:space="preserve">, je investor clearingovým centrem vyzván, aby na svůj maržový účet doplnil finanční prostředky do výše počátečního depozita. Toto </w:t>
      </w:r>
      <w:r w:rsidR="00077D27">
        <w:t>pobídnutí se nazývá</w:t>
      </w:r>
      <w:r>
        <w:t xml:space="preserve"> </w:t>
      </w:r>
      <w:r w:rsidRPr="00DB0FB6">
        <w:t>depozitní vyzvání</w:t>
      </w:r>
      <w:r>
        <w:rPr>
          <w:rStyle w:val="Znakapoznpodarou"/>
          <w:rFonts w:eastAsiaTheme="majorEastAsia"/>
        </w:rPr>
        <w:footnoteReference w:id="72"/>
      </w:r>
      <w:r>
        <w:t xml:space="preserve">. Hodnota dodatečných finančních prostředků se nazývá </w:t>
      </w:r>
      <w:r w:rsidRPr="001637AD">
        <w:t xml:space="preserve">variační </w:t>
      </w:r>
      <w:r w:rsidR="001637AD" w:rsidRPr="001637AD">
        <w:t>depozitum</w:t>
      </w:r>
      <w:r w:rsidR="001637AD">
        <w:t xml:space="preserve"> neboli </w:t>
      </w:r>
      <w:r w:rsidR="001637AD" w:rsidRPr="00044F0F">
        <w:rPr>
          <w:i/>
        </w:rPr>
        <w:t>„variation margin“</w:t>
      </w:r>
      <w:r w:rsidR="001637AD">
        <w:t>.</w:t>
      </w:r>
    </w:p>
    <w:p w:rsidR="001637AD" w:rsidRDefault="001637AD" w:rsidP="001637AD">
      <w:pPr>
        <w:spacing w:after="240" w:line="276" w:lineRule="auto"/>
        <w:jc w:val="both"/>
        <w:rPr>
          <w:color w:val="008000"/>
        </w:rPr>
      </w:pPr>
      <w:r>
        <w:t>Pokud dojde k situaci, že investor nedodá po depozitním vyzvání variační depozitum, je</w:t>
      </w:r>
      <w:r w:rsidR="00233476">
        <w:t> </w:t>
      </w:r>
      <w:r w:rsidRPr="001637AD">
        <w:t>makléř oprávněn uzavřít investorovy pozice</w:t>
      </w:r>
      <w:r>
        <w:t xml:space="preserve"> a případné ztráty uhradit z depozita. </w:t>
      </w:r>
      <w:r w:rsidR="00077D27">
        <w:t>Pouze v</w:t>
      </w:r>
      <w:r>
        <w:t> určitých případech, pokud tak makléř uzná za vhodné, nerozváže všechny klientovy otevřené pozice, ale pouze zlomek tak, aby zbytek otevřených pozic byl kryt zůstatkem na</w:t>
      </w:r>
      <w:r w:rsidR="00233476">
        <w:t> </w:t>
      </w:r>
      <w:r>
        <w:t>maržovém účtu.</w:t>
      </w:r>
      <w:r>
        <w:rPr>
          <w:rStyle w:val="Znakapoznpodarou"/>
          <w:rFonts w:eastAsiaTheme="majorEastAsia"/>
        </w:rPr>
        <w:footnoteReference w:id="73"/>
      </w:r>
      <w:r>
        <w:t xml:space="preserve"> Případný zbytek hodnoty depozita makléř po odečtení poplatků vrací klientovi, jelikož ten je stále majitelem splaceného depozita. Pokud investor jako depozitum vložil cenné papíry, pak mu náleží také eventuální výnosy.</w:t>
      </w:r>
      <w:r>
        <w:rPr>
          <w:rStyle w:val="Znakapoznpodarou"/>
          <w:rFonts w:eastAsiaTheme="majorEastAsia"/>
        </w:rPr>
        <w:footnoteReference w:id="74"/>
      </w:r>
      <w:r>
        <w:t xml:space="preserve"> </w:t>
      </w:r>
      <w:r w:rsidRPr="00EF492C">
        <w:t xml:space="preserve">Tento princip vrácení depozita platí pro jakoukoli </w:t>
      </w:r>
      <w:r>
        <w:t>formu a důvod</w:t>
      </w:r>
      <w:r w:rsidR="00077D27">
        <w:t xml:space="preserve"> uzavření pozice, nikoli</w:t>
      </w:r>
      <w:r w:rsidRPr="00EF492C">
        <w:t xml:space="preserve"> pouze pro „nucené“ uzavření z důvodu nesplacení variační marže.</w:t>
      </w:r>
    </w:p>
    <w:p w:rsidR="00E124C3" w:rsidRPr="003A1838" w:rsidRDefault="006E5B98" w:rsidP="00E124C3">
      <w:pPr>
        <w:spacing w:after="240" w:line="276" w:lineRule="auto"/>
        <w:jc w:val="both"/>
      </w:pPr>
      <w:r>
        <w:t>D</w:t>
      </w:r>
      <w:r w:rsidR="00E124C3" w:rsidRPr="003A1838">
        <w:t xml:space="preserve">íky clearingovému centru a maržovým vkladům při obchodování s futures kontrakty prakticky </w:t>
      </w:r>
      <w:r w:rsidR="00E124C3" w:rsidRPr="006E5B98">
        <w:t>neexistuje úvěrové riziko.</w:t>
      </w:r>
      <w:r w:rsidR="00E124C3" w:rsidRPr="003A1838">
        <w:t xml:space="preserve"> </w:t>
      </w:r>
      <w:r w:rsidR="00E124C3">
        <w:t xml:space="preserve">Obchodovat s futures tak mohou i </w:t>
      </w:r>
      <w:r w:rsidR="00233476">
        <w:t>obchodní společnosti či jiní investoři</w:t>
      </w:r>
      <w:r w:rsidR="00E124C3">
        <w:t>, pro které bylo velmi obtížné obchodovat s kontrakty typu forward. Takové</w:t>
      </w:r>
      <w:r w:rsidR="00233476">
        <w:t xml:space="preserve"> společnosti</w:t>
      </w:r>
      <w:r w:rsidR="00E124C3">
        <w:t>, které mají například nízk</w:t>
      </w:r>
      <w:r>
        <w:t xml:space="preserve">é hodnocení neboli </w:t>
      </w:r>
      <w:r w:rsidRPr="00233476">
        <w:rPr>
          <w:i/>
        </w:rPr>
        <w:t>rating</w:t>
      </w:r>
      <w:r>
        <w:t>,</w:t>
      </w:r>
      <w:r w:rsidR="00E124C3">
        <w:t xml:space="preserve"> zpravidla velmi obtížně hledají protistranu pro svůj obchod s forwardy. Pokud protistranu najdou, často je po nich požadováno, aby jí zaplatily odměnu za riziko, čímž se pro ně obchodování s forwardy prodražuje. Díky anonymitě stran při</w:t>
      </w:r>
      <w:r w:rsidR="00233476">
        <w:t> </w:t>
      </w:r>
      <w:r w:rsidR="00E124C3">
        <w:t>obchodování s futures kontrakty a garanci splacení obchodu clearingovým centrem se</w:t>
      </w:r>
      <w:r w:rsidR="00233476">
        <w:t> situace pro tyto společnosti</w:t>
      </w:r>
      <w:r w:rsidR="00E124C3">
        <w:t xml:space="preserve"> velmi zjednodušuje.</w:t>
      </w:r>
    </w:p>
    <w:p w:rsidR="00E124C3" w:rsidRPr="001637AD" w:rsidRDefault="00E124C3" w:rsidP="00AF55AD"/>
    <w:p w:rsidR="00E124C3" w:rsidRDefault="00E124C3" w:rsidP="00C27CB0">
      <w:pPr>
        <w:pStyle w:val="Nadpis2"/>
      </w:pPr>
      <w:bookmarkStart w:id="37" w:name="_Toc354393056"/>
      <w:r>
        <w:t>Zajištění prostřednictvím futures</w:t>
      </w:r>
      <w:bookmarkEnd w:id="37"/>
    </w:p>
    <w:p w:rsidR="00E124C3" w:rsidRDefault="00077D27" w:rsidP="00E124C3">
      <w:pPr>
        <w:spacing w:after="240" w:line="276" w:lineRule="auto"/>
        <w:jc w:val="both"/>
        <w:rPr>
          <w:color w:val="FF0000"/>
        </w:rPr>
      </w:pPr>
      <w:r>
        <w:t>Obchody s</w:t>
      </w:r>
      <w:r w:rsidR="00E124C3" w:rsidRPr="00463709">
        <w:t> deriváty jsou chápány jako zajišťovací pouze v případě, že jsou sjednány za</w:t>
      </w:r>
      <w:r w:rsidR="00233476">
        <w:t> </w:t>
      </w:r>
      <w:r w:rsidR="00E124C3" w:rsidRPr="00463709">
        <w:t xml:space="preserve">účelem snížení </w:t>
      </w:r>
      <w:r w:rsidR="00323673">
        <w:t xml:space="preserve">již </w:t>
      </w:r>
      <w:r w:rsidR="00E124C3" w:rsidRPr="00463709">
        <w:t>existujícího rizika</w:t>
      </w:r>
      <w:r w:rsidR="00323673">
        <w:t>.</w:t>
      </w:r>
    </w:p>
    <w:p w:rsidR="00E124C3" w:rsidRDefault="00E124C3" w:rsidP="00E124C3">
      <w:pPr>
        <w:spacing w:after="240" w:line="276" w:lineRule="auto"/>
        <w:jc w:val="both"/>
      </w:pPr>
      <w:r>
        <w:t>Investor na termínovém trhu za účelem zajištění otevírá opačnou pozici, než jakou zaujímá na</w:t>
      </w:r>
      <w:r w:rsidR="00233476">
        <w:t> </w:t>
      </w:r>
      <w:r>
        <w:t>spotovém trhu. Při splatnosti se pak možná ztráta na spotovém trhu kompenzuje ziskem na</w:t>
      </w:r>
      <w:r w:rsidR="00233476">
        <w:t> </w:t>
      </w:r>
      <w:r>
        <w:t xml:space="preserve">termínovém trhu </w:t>
      </w:r>
      <w:r w:rsidR="00077D27">
        <w:t xml:space="preserve">a </w:t>
      </w:r>
      <w:r>
        <w:t>naopak. Investor tedy nerealizuje žádný zisk či ztrátu, je dokonale zajištěn</w:t>
      </w:r>
      <w:r>
        <w:rPr>
          <w:rStyle w:val="Znakapoznpodarou"/>
          <w:rFonts w:eastAsiaTheme="majorEastAsia"/>
        </w:rPr>
        <w:footnoteReference w:id="75"/>
      </w:r>
      <w:r>
        <w:t>.</w:t>
      </w:r>
    </w:p>
    <w:p w:rsidR="00E124C3" w:rsidRDefault="00E124C3" w:rsidP="00E124C3">
      <w:pPr>
        <w:spacing w:after="240" w:line="276" w:lineRule="auto"/>
        <w:jc w:val="both"/>
      </w:pPr>
      <w:r>
        <w:t>Ve skutečnosti však obchodníci i v případě zajištění nedrží pozice až do jejich splatnosti, ale</w:t>
      </w:r>
      <w:r w:rsidR="00233476">
        <w:t> </w:t>
      </w:r>
      <w:r>
        <w:t>uzavírají své pozice dříve. Při držení pozice až do splatnosti investoři</w:t>
      </w:r>
      <w:r w:rsidR="00323673">
        <w:t xml:space="preserve"> podstupují riziko, že</w:t>
      </w:r>
      <w:r w:rsidR="00233476">
        <w:t> </w:t>
      </w:r>
      <w:r w:rsidR="00323673">
        <w:t xml:space="preserve">se jim později </w:t>
      </w:r>
      <w:r>
        <w:t xml:space="preserve">nepodaří najít protistranu pro uzavírací obchod a byli by tak nuceni fyzicky převzít dané </w:t>
      </w:r>
      <w:r w:rsidR="00323673">
        <w:t>podkladové aktivum, což pro ně</w:t>
      </w:r>
      <w:r>
        <w:t xml:space="preserve"> může být nákladné a nevyhovující. </w:t>
      </w:r>
    </w:p>
    <w:p w:rsidR="00E124C3" w:rsidRPr="00463709" w:rsidRDefault="00E124C3" w:rsidP="00E124C3">
      <w:pPr>
        <w:spacing w:after="240" w:line="276" w:lineRule="auto"/>
        <w:jc w:val="both"/>
      </w:pPr>
      <w:r>
        <w:lastRenderedPageBreak/>
        <w:t>V praxi se vybírá takový termín splatnosti futures kontraktu, který je nejbližší k termínu uskutečnění zajišťovaného spotového obchodu neboli k termínu expirace zajištění, a zároveň je časově vzdálenější</w:t>
      </w:r>
      <w:r w:rsidR="00233476">
        <w:t>,</w:t>
      </w:r>
      <w:r>
        <w:t xml:space="preserve"> než spotová operace.</w:t>
      </w:r>
      <w:r>
        <w:rPr>
          <w:rStyle w:val="Znakapoznpodarou"/>
          <w:rFonts w:eastAsiaTheme="majorEastAsia"/>
        </w:rPr>
        <w:footnoteReference w:id="76"/>
      </w:r>
      <w:r>
        <w:t xml:space="preserve"> </w:t>
      </w:r>
      <w:r w:rsidR="00077D27">
        <w:t>S</w:t>
      </w:r>
      <w:r>
        <w:t xml:space="preserve">tandardizované splatnosti futures kontraktů </w:t>
      </w:r>
      <w:r w:rsidR="00077D27">
        <w:t>bývají často stanoveny na měsíce</w:t>
      </w:r>
      <w:r>
        <w:t xml:space="preserve"> březen, červen, září a prosinec. Pokud například investor potřebuje zajistit obchod k měsíci prosinci, lednu či únoru, sjedná na termínovém trhu futures kontrakt se splatností v březnu.</w:t>
      </w:r>
    </w:p>
    <w:p w:rsidR="00E124C3" w:rsidRPr="007E3CE3" w:rsidRDefault="00E124C3" w:rsidP="00E124C3">
      <w:pPr>
        <w:spacing w:after="240" w:line="276" w:lineRule="auto"/>
        <w:jc w:val="both"/>
      </w:pPr>
    </w:p>
    <w:p w:rsidR="00E124C3" w:rsidRDefault="00E124C3" w:rsidP="00C27CB0">
      <w:pPr>
        <w:pStyle w:val="Nadpis2"/>
      </w:pPr>
      <w:bookmarkStart w:id="38" w:name="_Toc354393057"/>
      <w:r>
        <w:t>Úrokové futures</w:t>
      </w:r>
      <w:bookmarkEnd w:id="38"/>
    </w:p>
    <w:p w:rsidR="00E124C3" w:rsidRDefault="00E124C3" w:rsidP="00E124C3">
      <w:pPr>
        <w:spacing w:after="240" w:line="276" w:lineRule="auto"/>
        <w:jc w:val="both"/>
      </w:pPr>
      <w:r>
        <w:t xml:space="preserve">Úrokové futures jsou takové futures kontrakty, jejichž podkladovým aktivem jsou úrokové instrumenty. Obchodováním s úrokovými futures se tak investoři zajišťují proti </w:t>
      </w:r>
      <w:r w:rsidR="00E47D68">
        <w:t>pohybům cen instrumentů citlivých</w:t>
      </w:r>
      <w:r>
        <w:t xml:space="preserve"> na úrokovou míru, respektive proti pohybu úrokových sazeb. Mohou si</w:t>
      </w:r>
      <w:r w:rsidR="00233476">
        <w:t> </w:t>
      </w:r>
      <w:r>
        <w:t>tedy zajistit jak své var</w:t>
      </w:r>
      <w:r w:rsidR="00077D27">
        <w:t>iabilně úročené závazky, tak</w:t>
      </w:r>
      <w:r>
        <w:t xml:space="preserve"> své variabilně úročené pohledávky.</w:t>
      </w:r>
    </w:p>
    <w:p w:rsidR="00E124C3" w:rsidRDefault="00E124C3" w:rsidP="00E124C3">
      <w:pPr>
        <w:spacing w:after="240" w:line="276" w:lineRule="auto"/>
        <w:jc w:val="both"/>
      </w:pPr>
      <w:r>
        <w:t xml:space="preserve">Při uzavření obchodu na úrokový futures jsou sjednány </w:t>
      </w:r>
      <w:r w:rsidR="00E47D68">
        <w:t>podmínky obchodu obdobné jako</w:t>
      </w:r>
      <w:r w:rsidR="00233476">
        <w:t> </w:t>
      </w:r>
      <w:r w:rsidR="00E47D68">
        <w:t>u </w:t>
      </w:r>
      <w:r>
        <w:t xml:space="preserve">FRA. Dochází tedy mimo jiné také k určení referenční úrokové sazby, nominální hodnoty, od které se odvozuje výše plnění, určuje se také takzvaný minimální a maximální </w:t>
      </w:r>
      <w:r w:rsidRPr="000F72BE">
        <w:t>tick,</w:t>
      </w:r>
      <w:r>
        <w:t xml:space="preserve"> způsob kotace a také dochází ke stanovení doby splatnosti kontraktu.</w:t>
      </w:r>
      <w:r>
        <w:rPr>
          <w:rStyle w:val="Znakapoznpodarou"/>
          <w:rFonts w:eastAsiaTheme="majorEastAsia"/>
        </w:rPr>
        <w:footnoteReference w:id="77"/>
      </w:r>
    </w:p>
    <w:p w:rsidR="00EF1BC1" w:rsidRDefault="00E47D68" w:rsidP="00E124C3">
      <w:pPr>
        <w:spacing w:after="240" w:line="276" w:lineRule="auto"/>
        <w:jc w:val="both"/>
      </w:pPr>
      <w:r>
        <w:t>Kotace úrokových futures se</w:t>
      </w:r>
      <w:r w:rsidR="00E124C3">
        <w:t xml:space="preserve"> vyjadřuje na základě vztahu 100 mínus kótovaná úroková sazba</w:t>
      </w:r>
      <w:r w:rsidR="00077D27">
        <w:t>, což</w:t>
      </w:r>
      <w:r w:rsidR="00E124C3">
        <w:t xml:space="preserve"> je dáno z technických důvodů. </w:t>
      </w:r>
      <w:r w:rsidR="00EF1BC1">
        <w:t>P</w:t>
      </w:r>
      <w:r w:rsidR="00E124C3">
        <w:t xml:space="preserve">okud by kotace nebyla přepočtená, hodnoty na ose </w:t>
      </w:r>
      <w:r w:rsidR="00E124C3" w:rsidRPr="000F72BE">
        <w:rPr>
          <w:i/>
        </w:rPr>
        <w:t>x</w:t>
      </w:r>
      <w:r w:rsidR="00E124C3">
        <w:t xml:space="preserve"> by</w:t>
      </w:r>
      <w:r w:rsidR="000F72BE">
        <w:t> </w:t>
      </w:r>
      <w:r w:rsidR="00E124C3">
        <w:t>neodpovídaly křivce zisku a ztrát.</w:t>
      </w:r>
      <w:r w:rsidR="00EF1BC1">
        <w:rPr>
          <w:rStyle w:val="Znakapoznpodarou"/>
        </w:rPr>
        <w:footnoteReference w:id="78"/>
      </w:r>
      <w:r w:rsidR="00EF1BC1">
        <w:t xml:space="preserve"> Kotace úrokových futures, respektive jejich graf zisků </w:t>
      </w:r>
      <w:r w:rsidR="006A44EE">
        <w:t>a ztrát, je znázorněna na Obr. 2</w:t>
      </w:r>
      <w:r w:rsidR="00EF1BC1">
        <w:t>.</w:t>
      </w:r>
    </w:p>
    <w:p w:rsidR="00E47D68" w:rsidRPr="00E47D68" w:rsidRDefault="00E47D68" w:rsidP="00E47D68">
      <w:pPr>
        <w:pStyle w:val="Titulek"/>
        <w:keepNext/>
        <w:spacing w:line="276" w:lineRule="auto"/>
        <w:rPr>
          <w:rFonts w:ascii="Times New Roman" w:hAnsi="Times New Roman" w:cs="Times New Roman"/>
          <w:b w:val="0"/>
          <w:color w:val="auto"/>
          <w:sz w:val="24"/>
        </w:rPr>
      </w:pPr>
      <w:bookmarkStart w:id="39" w:name="_Toc354393008"/>
      <w:r w:rsidRPr="00E47D68">
        <w:rPr>
          <w:rFonts w:ascii="Times New Roman" w:hAnsi="Times New Roman" w:cs="Times New Roman"/>
          <w:b w:val="0"/>
          <w:color w:val="auto"/>
          <w:sz w:val="24"/>
        </w:rPr>
        <w:lastRenderedPageBreak/>
        <w:t xml:space="preserve">Obr. </w:t>
      </w:r>
      <w:r w:rsidR="00FA567C" w:rsidRPr="00E47D68">
        <w:rPr>
          <w:rFonts w:ascii="Times New Roman" w:hAnsi="Times New Roman" w:cs="Times New Roman"/>
          <w:b w:val="0"/>
          <w:color w:val="auto"/>
          <w:sz w:val="24"/>
        </w:rPr>
        <w:fldChar w:fldCharType="begin"/>
      </w:r>
      <w:r w:rsidRPr="00E47D68">
        <w:rPr>
          <w:rFonts w:ascii="Times New Roman" w:hAnsi="Times New Roman" w:cs="Times New Roman"/>
          <w:b w:val="0"/>
          <w:color w:val="auto"/>
          <w:sz w:val="24"/>
        </w:rPr>
        <w:instrText xml:space="preserve"> SEQ Obr. \* ARABIC </w:instrText>
      </w:r>
      <w:r w:rsidR="00FA567C" w:rsidRPr="00E47D68">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2</w:t>
      </w:r>
      <w:r w:rsidR="00FA567C" w:rsidRPr="00E47D68">
        <w:rPr>
          <w:rFonts w:ascii="Times New Roman" w:hAnsi="Times New Roman" w:cs="Times New Roman"/>
          <w:b w:val="0"/>
          <w:color w:val="auto"/>
          <w:sz w:val="24"/>
        </w:rPr>
        <w:fldChar w:fldCharType="end"/>
      </w:r>
      <w:r w:rsidRPr="00E47D68">
        <w:rPr>
          <w:rFonts w:ascii="Times New Roman" w:hAnsi="Times New Roman" w:cs="Times New Roman"/>
          <w:b w:val="0"/>
          <w:color w:val="auto"/>
          <w:sz w:val="24"/>
        </w:rPr>
        <w:t>: Kotace úrokových futures</w:t>
      </w:r>
      <w:bookmarkEnd w:id="39"/>
    </w:p>
    <w:p w:rsidR="00E124C3" w:rsidRDefault="00E124C3" w:rsidP="00E47D68">
      <w:pPr>
        <w:keepNext/>
        <w:spacing w:after="240" w:line="276" w:lineRule="auto"/>
        <w:jc w:val="center"/>
      </w:pPr>
      <w:r>
        <w:rPr>
          <w:noProof/>
          <w:lang w:eastAsia="cs-CZ"/>
        </w:rPr>
        <w:drawing>
          <wp:inline distT="0" distB="0" distL="0" distR="0">
            <wp:extent cx="3943350" cy="2419350"/>
            <wp:effectExtent l="19050" t="0" r="0" b="0"/>
            <wp:docPr id="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r="1272" b="6134"/>
                    <a:stretch>
                      <a:fillRect/>
                    </a:stretch>
                  </pic:blipFill>
                  <pic:spPr bwMode="auto">
                    <a:xfrm>
                      <a:off x="0" y="0"/>
                      <a:ext cx="3943350" cy="2419350"/>
                    </a:xfrm>
                    <a:prstGeom prst="rect">
                      <a:avLst/>
                    </a:prstGeom>
                    <a:noFill/>
                    <a:ln w="9525">
                      <a:noFill/>
                      <a:miter lim="800000"/>
                      <a:headEnd/>
                      <a:tailEnd/>
                    </a:ln>
                  </pic:spPr>
                </pic:pic>
              </a:graphicData>
            </a:graphic>
          </wp:inline>
        </w:drawing>
      </w:r>
    </w:p>
    <w:p w:rsidR="00320170" w:rsidRDefault="00320170" w:rsidP="00320170">
      <w:pPr>
        <w:keepNext/>
        <w:spacing w:after="240" w:line="276" w:lineRule="auto"/>
        <w:rPr>
          <w:i/>
          <w:sz w:val="20"/>
        </w:rPr>
      </w:pPr>
      <w:r>
        <w:rPr>
          <w:i/>
          <w:sz w:val="20"/>
        </w:rPr>
        <w:t>Pramen: Vlastní zpracování</w:t>
      </w:r>
    </w:p>
    <w:p w:rsidR="00320170" w:rsidRPr="00320170" w:rsidRDefault="00320170" w:rsidP="00320170">
      <w:pPr>
        <w:keepNext/>
        <w:spacing w:after="240" w:line="276" w:lineRule="auto"/>
      </w:pPr>
    </w:p>
    <w:p w:rsidR="00E124C3" w:rsidRDefault="00E124C3" w:rsidP="00E124C3">
      <w:pPr>
        <w:spacing w:after="240" w:line="276" w:lineRule="auto"/>
        <w:jc w:val="both"/>
      </w:pPr>
      <w:r>
        <w:t xml:space="preserve">Úrokové futures </w:t>
      </w:r>
      <w:r w:rsidR="00077D27">
        <w:t>lze</w:t>
      </w:r>
      <w:r>
        <w:t xml:space="preserve"> rozdělit na futu</w:t>
      </w:r>
      <w:r w:rsidR="00EF1BC1">
        <w:t xml:space="preserve">res na dluhové cenné papíry a </w:t>
      </w:r>
      <w:r>
        <w:t>futures na úrokovou sazbu. Tyto dvě varianty se od sebe liší formou vypořádání kontraktu při splatnosti.</w:t>
      </w:r>
    </w:p>
    <w:p w:rsidR="00E124C3" w:rsidRDefault="00E124C3" w:rsidP="00E124C3">
      <w:pPr>
        <w:spacing w:after="240" w:line="276" w:lineRule="auto"/>
        <w:jc w:val="both"/>
      </w:pPr>
      <w:r>
        <w:t>U futures na dluhové cenné papíry dochází k výměně pevné částky hotovosti za dluhový cen</w:t>
      </w:r>
      <w:r w:rsidR="00EF1BC1">
        <w:t>ný papír</w:t>
      </w:r>
      <w:r>
        <w:t>. Podkladovým aktivem mohou být krátkodobé, střednědobé i dlouhodobé dluhové cenné papíry. Nejčastějším podkladovým aktive</w:t>
      </w:r>
      <w:r w:rsidR="00EF1BC1">
        <w:t>m jsou pokladniční poukázky, či dlouhodobé státní dluhopisy</w:t>
      </w:r>
      <w:r>
        <w:t xml:space="preserve"> především ekonomicky vyspělých zemí. V den splatnosti dochází k hrubému vypořádání kontraktu ve formě dluhového cenného papíru.</w:t>
      </w:r>
      <w:r>
        <w:rPr>
          <w:rStyle w:val="Znakapoznpodarou"/>
          <w:rFonts w:eastAsiaTheme="majorEastAsia"/>
        </w:rPr>
        <w:footnoteReference w:id="79"/>
      </w:r>
    </w:p>
    <w:p w:rsidR="00E124C3" w:rsidRDefault="00CD763A" w:rsidP="00E124C3">
      <w:pPr>
        <w:spacing w:after="240" w:line="276" w:lineRule="auto"/>
        <w:jc w:val="both"/>
      </w:pPr>
      <w:r>
        <w:t>U</w:t>
      </w:r>
      <w:r w:rsidR="00E124C3">
        <w:t xml:space="preserve"> futures kontraktů je </w:t>
      </w:r>
      <w:r>
        <w:t>důležitý fakt</w:t>
      </w:r>
      <w:r w:rsidR="00E124C3">
        <w:t>, že podkladovým aktivem nejsou reálně emitované dluhopisy, nýbrž umělé, fiktivní dluhopisy s přesně stanovenými</w:t>
      </w:r>
      <w:r w:rsidR="00EF1BC1">
        <w:t xml:space="preserve"> podmínkami. </w:t>
      </w:r>
      <w:r w:rsidR="00E124C3" w:rsidRPr="00EF1BC1">
        <w:t>Dvořák</w:t>
      </w:r>
      <w:r w:rsidR="00EF1BC1">
        <w:t xml:space="preserve"> (2008)</w:t>
      </w:r>
      <w:r w:rsidR="00E124C3" w:rsidRPr="00EF1BC1">
        <w:rPr>
          <w:rStyle w:val="Znakapoznpodarou"/>
          <w:rFonts w:eastAsiaTheme="majorEastAsia"/>
        </w:rPr>
        <w:footnoteReference w:id="80"/>
      </w:r>
      <w:r w:rsidR="00E124C3">
        <w:t xml:space="preserve"> uvádí, že podkladovým aktivem úrokového futures kontraktu nemůže být skutečně emitovaný dlu</w:t>
      </w:r>
      <w:r w:rsidR="000F72BE">
        <w:t>hopis z následujících důvodů: „Z</w:t>
      </w:r>
      <w:r w:rsidR="00E124C3">
        <w:t xml:space="preserve">kracující se doba do splatnosti by vyžadovala změny v podkladovém aktivu, u podkladových dluhopisů by docházelo ke změnám kupónové úrokové míry a objem podkladových dluhopisů by mohl být příliš malý vzhledem k objemu futures kontraktů.“ </w:t>
      </w:r>
      <w:r w:rsidR="00E124C3" w:rsidRPr="00520F26">
        <w:t>Obchodník prodávající tento futures kontrakt má na konci doby trvání kontraktu právo v množině existujících státních dluhopisů vybrat ten, který odpovídá podmínkám kontraktu</w:t>
      </w:r>
      <w:r w:rsidR="00EF1BC1">
        <w:t>,</w:t>
      </w:r>
      <w:r w:rsidR="00E124C3" w:rsidRPr="00520F26">
        <w:t xml:space="preserve"> a použít tento dluhopis k plnění v době splatnosti. Dodání a zaplacení dluhopisu je nutno přizpůsobit tak, aby obchod odpovídal sjednaným podmínkám kontraktu.</w:t>
      </w:r>
      <w:r w:rsidR="00E124C3" w:rsidRPr="00520F26">
        <w:rPr>
          <w:rStyle w:val="Znakapoznpodarou"/>
          <w:rFonts w:eastAsiaTheme="majorEastAsia"/>
        </w:rPr>
        <w:footnoteReference w:id="81"/>
      </w:r>
    </w:p>
    <w:p w:rsidR="00E124C3" w:rsidRDefault="00E124C3" w:rsidP="00E124C3">
      <w:pPr>
        <w:spacing w:after="240" w:line="276" w:lineRule="auto"/>
        <w:jc w:val="both"/>
      </w:pPr>
      <w:r>
        <w:t>Druhým typem</w:t>
      </w:r>
      <w:r w:rsidR="00EF1BC1">
        <w:t xml:space="preserve"> úrokových futures</w:t>
      </w:r>
      <w:r w:rsidRPr="00520F26">
        <w:t xml:space="preserve"> jsou futures kontrakty na úrokovou míru. Tato</w:t>
      </w:r>
      <w:r>
        <w:t xml:space="preserve"> po</w:t>
      </w:r>
      <w:r w:rsidR="00EF1BC1">
        <w:t>doba futures je velmi podobná</w:t>
      </w:r>
      <w:r>
        <w:t xml:space="preserve"> FRA kontrakt</w:t>
      </w:r>
      <w:r w:rsidR="00EF1BC1">
        <w:t>u</w:t>
      </w:r>
      <w:r>
        <w:t>. Při splatnosti dochází</w:t>
      </w:r>
      <w:r w:rsidR="00EF1BC1">
        <w:t xml:space="preserve"> </w:t>
      </w:r>
      <w:r w:rsidRPr="00520F26">
        <w:t xml:space="preserve">teoreticky ke dvěma vzájemným platbám, kdy jeden investor obdrží od druhého pevně úročenou nominální částku </w:t>
      </w:r>
      <w:r w:rsidRPr="00520F26">
        <w:lastRenderedPageBreak/>
        <w:t>a zároveň zaplatí částku, která je odvozena od stanovené referenční sazby</w:t>
      </w:r>
      <w:r>
        <w:t xml:space="preserve"> a naopak</w:t>
      </w:r>
      <w:r w:rsidRPr="00520F26">
        <w:t xml:space="preserve">. Prakticky pak dochází pouze k vyrovnání rozdílů. </w:t>
      </w:r>
      <w:r>
        <w:t>Při splatnosti tedy dochází</w:t>
      </w:r>
      <w:r w:rsidR="00EF1BC1">
        <w:t xml:space="preserve"> k čistému vypořádání kontraktu</w:t>
      </w:r>
      <w:r>
        <w:t>.</w:t>
      </w:r>
      <w:r>
        <w:rPr>
          <w:rStyle w:val="Znakapoznpodarou"/>
          <w:rFonts w:eastAsiaTheme="majorEastAsia"/>
        </w:rPr>
        <w:footnoteReference w:id="82"/>
      </w:r>
      <w:r w:rsidR="000F72BE">
        <w:t xml:space="preserve"> </w:t>
      </w:r>
      <w:r w:rsidRPr="00520F26">
        <w:t>Rozdíl mezi FRA a futures kontraktem na úrokovou míru je ten, že díky clearingovému centru dochází u futures ke každodennímu vypořádání obchodu, kdežto u FRA dochází k vypořádání celkové částky až v době splatnosti kontraktu.</w:t>
      </w:r>
    </w:p>
    <w:p w:rsidR="00E124C3" w:rsidRPr="00520F26" w:rsidRDefault="00E124C3" w:rsidP="00E124C3">
      <w:pPr>
        <w:pStyle w:val="Odstavecseseznamem"/>
        <w:spacing w:after="240"/>
        <w:ind w:left="1440"/>
        <w:jc w:val="both"/>
        <w:rPr>
          <w:rFonts w:ascii="Times New Roman" w:hAnsi="Times New Roman" w:cs="Times New Roman"/>
          <w:sz w:val="24"/>
          <w:szCs w:val="24"/>
        </w:rPr>
      </w:pPr>
    </w:p>
    <w:p w:rsidR="00E124C3" w:rsidRDefault="00E124C3" w:rsidP="00C27CB0">
      <w:pPr>
        <w:pStyle w:val="Nadpis2"/>
      </w:pPr>
      <w:bookmarkStart w:id="40" w:name="_Toc354393058"/>
      <w:r>
        <w:t>Měnové futures</w:t>
      </w:r>
      <w:bookmarkEnd w:id="40"/>
    </w:p>
    <w:p w:rsidR="00C32B38" w:rsidRDefault="00C32B38" w:rsidP="00C32B38">
      <w:pPr>
        <w:spacing w:after="240" w:line="276" w:lineRule="auto"/>
        <w:jc w:val="both"/>
      </w:pPr>
      <w:r>
        <w:t>Podkladovým aktivem měnových futures jsou měnové páry. Princip těchto futures kontraktů pak spočívá ve výměně stanoveného množství jedné měny za jinou měnu, to vše k datu v budoucnu a za předem dohodnutý měnový kurz.</w:t>
      </w:r>
    </w:p>
    <w:p w:rsidR="00E124C3" w:rsidRPr="008012F4" w:rsidRDefault="00E124C3" w:rsidP="00E124C3">
      <w:pPr>
        <w:spacing w:after="240" w:line="276" w:lineRule="auto"/>
        <w:jc w:val="both"/>
        <w:rPr>
          <w:color w:val="008000"/>
        </w:rPr>
      </w:pPr>
      <w:r>
        <w:t>Měnové futures patří mezi první druh kontraktů z finančních futures. Jejich počátek obchodování je konkrétně spojen s </w:t>
      </w:r>
      <w:r w:rsidRPr="008012F4">
        <w:t>burzou Chicago Mercantile Exchange</w:t>
      </w:r>
      <w:r>
        <w:t>, která dodnes patří mezi významné burzy v rámci obchodování s měnovými futures.</w:t>
      </w:r>
      <w:r w:rsidRPr="008012F4">
        <w:t xml:space="preserve"> </w:t>
      </w:r>
      <w:r w:rsidR="00CD763A">
        <w:t>Přesto</w:t>
      </w:r>
      <w:r>
        <w:t xml:space="preserve">že trh s měnovými futures patří mezi první, patří zároveň mezi nejméně se vyvíjející trhy futures. </w:t>
      </w:r>
      <w:r w:rsidRPr="008E136F">
        <w:t>Je tomu tak</w:t>
      </w:r>
      <w:r w:rsidR="000F72BE">
        <w:t> </w:t>
      </w:r>
      <w:r w:rsidRPr="008E136F">
        <w:t xml:space="preserve">z toho důvodu, že existuje rozvinutý a fungující trh </w:t>
      </w:r>
      <w:r>
        <w:t>s měnovými forwardy. Ten je tak stále větší než trh s měnovými futures.</w:t>
      </w:r>
      <w:r>
        <w:rPr>
          <w:rStyle w:val="Znakapoznpodarou"/>
          <w:rFonts w:eastAsiaTheme="majorEastAsia"/>
        </w:rPr>
        <w:footnoteReference w:id="83"/>
      </w:r>
    </w:p>
    <w:p w:rsidR="00E124C3" w:rsidRDefault="00C32B38" w:rsidP="00E124C3">
      <w:pPr>
        <w:spacing w:after="240" w:line="276" w:lineRule="auto"/>
        <w:jc w:val="both"/>
      </w:pPr>
      <w:r>
        <w:t xml:space="preserve">Na derivátových burzách se obchoduje prakticky jenom s nejvýznamnějšími měnami světa, především pak s americkým dolarem. </w:t>
      </w:r>
      <w:r w:rsidR="00B7220F">
        <w:t>Termínovou burzou jsou</w:t>
      </w:r>
      <w:r>
        <w:t xml:space="preserve"> rovněž</w:t>
      </w:r>
      <w:r w:rsidR="00B7220F">
        <w:t xml:space="preserve"> </w:t>
      </w:r>
      <w:r w:rsidR="00E124C3">
        <w:t xml:space="preserve">opět standardizovány všechny podmínky </w:t>
      </w:r>
      <w:r w:rsidR="00B7220F">
        <w:t>obchodu</w:t>
      </w:r>
      <w:r w:rsidR="00E124C3">
        <w:t xml:space="preserve">. </w:t>
      </w:r>
      <w:r>
        <w:t>Právě standardizace může být jedním z vysvětlení, proč</w:t>
      </w:r>
      <w:r w:rsidR="000F72BE">
        <w:t> </w:t>
      </w:r>
      <w:r>
        <w:t>investoři upřednostňují obchodování s měnovými forwardy před futures kontrakty. Dochází totiž také</w:t>
      </w:r>
      <w:r w:rsidR="00E124C3">
        <w:t xml:space="preserve"> ke standardizaci dne dodávky kontraktu. Tím </w:t>
      </w:r>
      <w:r>
        <w:t xml:space="preserve">jsou často pouze čtyři dny </w:t>
      </w:r>
      <w:r w:rsidR="00044F0F">
        <w:t>v</w:t>
      </w:r>
      <w:r w:rsidR="000F72BE">
        <w:t> </w:t>
      </w:r>
      <w:r>
        <w:t xml:space="preserve">roce. </w:t>
      </w:r>
      <w:r w:rsidR="00E124C3">
        <w:t>Oproti tomu</w:t>
      </w:r>
      <w:r>
        <w:t>,</w:t>
      </w:r>
      <w:r w:rsidR="00E124C3">
        <w:t xml:space="preserve"> u</w:t>
      </w:r>
      <w:r>
        <w:t> </w:t>
      </w:r>
      <w:r w:rsidR="00E124C3">
        <w:t xml:space="preserve">měnových forwardů dochází ke splatnosti nějakého kontraktu prakticky každý den. </w:t>
      </w:r>
    </w:p>
    <w:p w:rsidR="00E124C3" w:rsidRDefault="00E124C3" w:rsidP="00E124C3">
      <w:pPr>
        <w:spacing w:after="240" w:line="276" w:lineRule="auto"/>
        <w:jc w:val="both"/>
      </w:pPr>
      <w:r>
        <w:t xml:space="preserve">Trh s měnovými futures je menší než trh s měnovými forwardy i přesto, že je určen prakticky pro každého investora, kdežto na trh s měnovými forwardy mají přístup pouze velcí investoři. Trhy s měnovými futures a forwardy se od sebe liší </w:t>
      </w:r>
      <w:r w:rsidR="00C32B38">
        <w:t xml:space="preserve">taktéž </w:t>
      </w:r>
      <w:r>
        <w:t>v několika dalších aspektech. Velmi důležitým hlediskem je denní zúčtování pozic na trhu futures</w:t>
      </w:r>
      <w:r w:rsidR="00C32B38">
        <w:t xml:space="preserve">. </w:t>
      </w:r>
      <w:r>
        <w:t>Významným rozdílem je</w:t>
      </w:r>
      <w:r w:rsidR="000F72BE">
        <w:t> </w:t>
      </w:r>
      <w:r>
        <w:t>také to, že díky likviditě burz je</w:t>
      </w:r>
      <w:r w:rsidR="00C32B38">
        <w:t> </w:t>
      </w:r>
      <w:r>
        <w:t>opět možné futures kontrakty prakticky kdykoli uzavřít, což u</w:t>
      </w:r>
      <w:r w:rsidR="00C32B38">
        <w:t> </w:t>
      </w:r>
      <w:r>
        <w:t>forwardů není jednoduché. Statistiky říkají, že méně než 1 % měnových futures je</w:t>
      </w:r>
      <w:r w:rsidR="000F72BE">
        <w:t> </w:t>
      </w:r>
      <w:r>
        <w:t>ukončeno dodávkou, zatímco více než 90 % měnových forwardů je drženo do splatnosti a</w:t>
      </w:r>
      <w:r w:rsidR="000F72BE">
        <w:t> </w:t>
      </w:r>
      <w:r>
        <w:t>vypořádáno.</w:t>
      </w:r>
      <w:r>
        <w:rPr>
          <w:rStyle w:val="Znakapoznpodarou"/>
          <w:rFonts w:eastAsiaTheme="majorEastAsia"/>
        </w:rPr>
        <w:footnoteReference w:id="84"/>
      </w:r>
      <w:r>
        <w:t xml:space="preserve"> </w:t>
      </w:r>
    </w:p>
    <w:p w:rsidR="00423A97" w:rsidRDefault="00423A97">
      <w:pPr>
        <w:suppressAutoHyphens w:val="0"/>
        <w:spacing w:after="200" w:line="276" w:lineRule="auto"/>
      </w:pPr>
      <w:r>
        <w:br w:type="page"/>
      </w:r>
    </w:p>
    <w:p w:rsidR="00423A97" w:rsidRDefault="00423A97" w:rsidP="007616BB">
      <w:pPr>
        <w:pStyle w:val="Nadpis1"/>
      </w:pPr>
      <w:bookmarkStart w:id="41" w:name="_Toc350268413"/>
      <w:bookmarkStart w:id="42" w:name="_Toc354393059"/>
      <w:r>
        <w:lastRenderedPageBreak/>
        <w:t>SWAPY</w:t>
      </w:r>
      <w:bookmarkEnd w:id="41"/>
      <w:bookmarkEnd w:id="42"/>
    </w:p>
    <w:p w:rsidR="00423A97" w:rsidRPr="00423A97" w:rsidRDefault="00423A97" w:rsidP="00423A97">
      <w:pPr>
        <w:spacing w:after="240"/>
        <w:rPr>
          <w:lang w:eastAsia="cs-CZ"/>
        </w:rPr>
      </w:pPr>
    </w:p>
    <w:p w:rsidR="00423A97" w:rsidRDefault="00423A97" w:rsidP="00423A97">
      <w:pPr>
        <w:spacing w:after="240" w:line="276" w:lineRule="auto"/>
        <w:jc w:val="both"/>
      </w:pPr>
      <w:r>
        <w:t>Swapy patří mezi derivátové kontrakty, které se obchodují mimoburzovně na OTC trzích. Principem jejich fungování je neodvolatelná výměna podkladových aktiv mezi dvěma stranami, která probíhá minimálně ve dvou časo</w:t>
      </w:r>
      <w:r w:rsidR="000F72BE">
        <w:t xml:space="preserve">vých okamžicích v budoucnu za předem </w:t>
      </w:r>
      <w:r>
        <w:t>stanovených podmínek. Lze říci, že se jed</w:t>
      </w:r>
      <w:r w:rsidR="0084255A">
        <w:t>ná o více forwardů s postupnou výměnou</w:t>
      </w:r>
      <w:r>
        <w:t xml:space="preserve"> podkladových aktiv v budoucnosti.</w:t>
      </w:r>
    </w:p>
    <w:p w:rsidR="00423A97" w:rsidRDefault="00423A97" w:rsidP="00423A97">
      <w:pPr>
        <w:spacing w:after="240" w:line="276" w:lineRule="auto"/>
        <w:jc w:val="both"/>
      </w:pPr>
      <w:r>
        <w:t>I přesto, že jsou swapy nástrojem OTC trhů, tedy že je možné swapy obchodovat za</w:t>
      </w:r>
      <w:r w:rsidR="0084255A">
        <w:t> </w:t>
      </w:r>
      <w:r>
        <w:t>individualizovaných podmínek, došlo u určitých typů swapů ke standardizaci</w:t>
      </w:r>
      <w:r>
        <w:rPr>
          <w:rStyle w:val="Znakapoznpodarou"/>
          <w:rFonts w:eastAsiaTheme="majorEastAsia"/>
        </w:rPr>
        <w:footnoteReference w:id="85"/>
      </w:r>
      <w:r>
        <w:t>. Tu</w:t>
      </w:r>
      <w:r w:rsidR="000F72BE">
        <w:t> </w:t>
      </w:r>
      <w:r>
        <w:t>provedla Mezinárodní asociace pro swapy a deriváty</w:t>
      </w:r>
      <w:r>
        <w:rPr>
          <w:rStyle w:val="Znakapoznpodarou"/>
          <w:rFonts w:eastAsiaTheme="majorEastAsia"/>
        </w:rPr>
        <w:footnoteReference w:id="86"/>
      </w:r>
      <w:r>
        <w:t xml:space="preserve"> vydáním vzorů swapových smluv. Díky této standardizaci kontraktů a obchodních mechani</w:t>
      </w:r>
      <w:r w:rsidR="00D37322">
        <w:t>s</w:t>
      </w:r>
      <w:r>
        <w:t>mů došlo ke snížení transa</w:t>
      </w:r>
      <w:r w:rsidR="000F72BE">
        <w:t>kč</w:t>
      </w:r>
      <w:r>
        <w:t>ních nákladů a zpřístupnění swapů širokému spektru investorů, čímž byla zajištěna také vysoká likvidita swapových kontraktů.</w:t>
      </w:r>
      <w:r w:rsidR="00C12EDB">
        <w:rPr>
          <w:rStyle w:val="Znakapoznpodarou"/>
          <w:rFonts w:eastAsiaTheme="majorEastAsia"/>
        </w:rPr>
        <w:footnoteReference w:id="87"/>
      </w:r>
    </w:p>
    <w:p w:rsidR="00423A97" w:rsidRDefault="00D37322" w:rsidP="00423A97">
      <w:pPr>
        <w:spacing w:after="240" w:line="276" w:lineRule="auto"/>
        <w:jc w:val="both"/>
      </w:pPr>
      <w:r>
        <w:t>De statistik</w:t>
      </w:r>
      <w:r w:rsidR="00423A97">
        <w:t xml:space="preserve"> </w:t>
      </w:r>
      <w:r w:rsidR="00765448">
        <w:t xml:space="preserve">mezinárodní organizace </w:t>
      </w:r>
      <w:r w:rsidR="00423A97" w:rsidRPr="00044F0F">
        <w:rPr>
          <w:i/>
        </w:rPr>
        <w:t>Bank for</w:t>
      </w:r>
      <w:r w:rsidR="00765448" w:rsidRPr="00044F0F">
        <w:rPr>
          <w:i/>
        </w:rPr>
        <w:t> </w:t>
      </w:r>
      <w:r w:rsidR="00423A97" w:rsidRPr="00044F0F">
        <w:rPr>
          <w:i/>
        </w:rPr>
        <w:t>international settlements</w:t>
      </w:r>
      <w:r w:rsidR="00423A97">
        <w:t xml:space="preserve"> </w:t>
      </w:r>
      <w:r>
        <w:t>mají na OTC trzích největší zastoupení úrokové swapy. Objem jejich nominální výše dosahuje necelých 90 % z objemu celého trhu. Přibližně shodné 6% zastoupení mají měnové a úvěrové swapy. Měnové swapy nejsou na rozdíl od úrokových swapů standardizovaně kótované, což může vysvětlit jejich menší zastoupení.</w:t>
      </w:r>
      <w:r>
        <w:rPr>
          <w:rStyle w:val="Znakapoznpodarou"/>
          <w:rFonts w:eastAsiaTheme="majorEastAsia"/>
        </w:rPr>
        <w:footnoteReference w:id="88"/>
      </w:r>
      <w:r>
        <w:t xml:space="preserve"> Komoditní a akciové swapy představují zanedbatelnou položku. Jejich hodnoty jsou </w:t>
      </w:r>
      <w:r w:rsidR="00423A97">
        <w:t>uváděny dohromady spolu s</w:t>
      </w:r>
      <w:r w:rsidR="00765448">
        <w:t> </w:t>
      </w:r>
      <w:r w:rsidR="00423A97">
        <w:t>forwardy</w:t>
      </w:r>
      <w:r w:rsidR="00765448">
        <w:t xml:space="preserve"> na stejné podkladové aktivum</w:t>
      </w:r>
      <w:r w:rsidR="00423A97">
        <w:t>, přičemž ani toto sloučení nedosahuje více jak jednoprocentního zastoupení ve</w:t>
      </w:r>
      <w:r w:rsidR="00C40701">
        <w:t> </w:t>
      </w:r>
      <w:r w:rsidR="00423A97">
        <w:t>statistice trhu.</w:t>
      </w:r>
      <w:r w:rsidR="00423A97">
        <w:rPr>
          <w:rStyle w:val="Znakapoznpodarou"/>
          <w:rFonts w:eastAsiaTheme="majorEastAsia"/>
        </w:rPr>
        <w:footnoteReference w:id="89"/>
      </w:r>
    </w:p>
    <w:p w:rsidR="00423A97" w:rsidRDefault="00423A97" w:rsidP="00D37322">
      <w:pPr>
        <w:keepNext/>
        <w:spacing w:after="240" w:line="276" w:lineRule="auto"/>
        <w:jc w:val="both"/>
      </w:pPr>
    </w:p>
    <w:p w:rsidR="00423A97" w:rsidRDefault="00423A97" w:rsidP="00C27CB0">
      <w:pPr>
        <w:pStyle w:val="Nadpis2"/>
      </w:pPr>
      <w:bookmarkStart w:id="43" w:name="_Toc350268414"/>
      <w:bookmarkStart w:id="44" w:name="_Toc354393060"/>
      <w:r>
        <w:t>Úrokové swapy</w:t>
      </w:r>
      <w:bookmarkEnd w:id="43"/>
      <w:bookmarkEnd w:id="44"/>
    </w:p>
    <w:p w:rsidR="00423A97" w:rsidRDefault="00423A97" w:rsidP="00423A97">
      <w:pPr>
        <w:spacing w:after="240" w:line="276" w:lineRule="auto"/>
        <w:jc w:val="both"/>
      </w:pPr>
      <w:r>
        <w:t>Úrokové swapy jsou založeny na principu smluvního sjednání opakujících se plateb ve stejné měně, které odpovídají úrokovým platbám za teoreticky vzájemně poskytnuté stejně velké úvěry.</w:t>
      </w:r>
      <w:r>
        <w:rPr>
          <w:rStyle w:val="Znakapoznpodarou"/>
          <w:rFonts w:eastAsiaTheme="majorEastAsia"/>
        </w:rPr>
        <w:footnoteReference w:id="90"/>
      </w:r>
      <w:r>
        <w:t xml:space="preserve"> Tyto platby nastávají ve sj</w:t>
      </w:r>
      <w:r w:rsidR="00057004">
        <w:t>ednaných termínech v budoucnost</w:t>
      </w:r>
      <w:r w:rsidR="00E3304D">
        <w:t>i</w:t>
      </w:r>
      <w:r w:rsidR="00057004">
        <w:t>. N</w:t>
      </w:r>
      <w:r>
        <w:t>ominální hodnotu</w:t>
      </w:r>
      <w:r w:rsidR="00057004">
        <w:t>, od</w:t>
      </w:r>
      <w:r w:rsidR="00C40701">
        <w:t> </w:t>
      </w:r>
      <w:r w:rsidR="00057004">
        <w:t>které jsou odvozeny výše úrokových plateb, si protistrany neplatí. D</w:t>
      </w:r>
      <w:r>
        <w:t>ochází pouze k úrokovým platbám, respektive pouze k platbám rozdílů</w:t>
      </w:r>
      <w:r w:rsidR="00D37322">
        <w:t xml:space="preserve"> mezi nimi</w:t>
      </w:r>
      <w:r>
        <w:t>.</w:t>
      </w:r>
      <w:r w:rsidR="00E91BB6">
        <w:t xml:space="preserve"> Úrokové swapy </w:t>
      </w:r>
      <w:r w:rsidR="00C40701">
        <w:t xml:space="preserve">jsou </w:t>
      </w:r>
      <w:r w:rsidR="00E91BB6">
        <w:t xml:space="preserve">často označovány jako IRS – </w:t>
      </w:r>
      <w:r w:rsidR="00E91BB6" w:rsidRPr="00E91BB6">
        <w:rPr>
          <w:i/>
        </w:rPr>
        <w:t>„Interest Rate Swap“</w:t>
      </w:r>
      <w:r w:rsidR="00E91BB6">
        <w:t>.</w:t>
      </w:r>
    </w:p>
    <w:p w:rsidR="00423A97" w:rsidRDefault="00423A97" w:rsidP="00423A97">
      <w:pPr>
        <w:spacing w:after="240" w:line="276" w:lineRule="auto"/>
        <w:jc w:val="both"/>
      </w:pPr>
      <w:r>
        <w:lastRenderedPageBreak/>
        <w:t xml:space="preserve">Úrokové swapy mohou probíhat ve dvou </w:t>
      </w:r>
      <w:r w:rsidR="00C40701">
        <w:t xml:space="preserve">základních </w:t>
      </w:r>
      <w:r>
        <w:t xml:space="preserve">podobách, díky nimž </w:t>
      </w:r>
      <w:r w:rsidR="00D37322">
        <w:t xml:space="preserve">se </w:t>
      </w:r>
      <w:r>
        <w:t>úrokové swapy dělí na</w:t>
      </w:r>
      <w:r w:rsidR="00C40701">
        <w:t> </w:t>
      </w:r>
      <w:r>
        <w:t>klasické úrokové</w:t>
      </w:r>
      <w:r w:rsidR="00F478FD">
        <w:t xml:space="preserve"> swapy a bazické úrokové swapy.</w:t>
      </w:r>
    </w:p>
    <w:p w:rsidR="00423A97" w:rsidRDefault="00D37322" w:rsidP="00423A97">
      <w:pPr>
        <w:spacing w:after="240" w:line="276" w:lineRule="auto"/>
        <w:jc w:val="both"/>
      </w:pPr>
      <w:r>
        <w:t>U klasického úrokového</w:t>
      </w:r>
      <w:r w:rsidR="00423A97">
        <w:t xml:space="preserve"> swap</w:t>
      </w:r>
      <w:r>
        <w:t>u</w:t>
      </w:r>
      <w:r w:rsidR="00423A97">
        <w:t xml:space="preserve"> dochází k výměně platby odvozené od pevné úrokové sazby oproti platbě úročené variabilní úrokovou sazbou. Dochází tedy k výměně pevné částky hotovosti za dosud neznámou částku hotovosti, to vše v téže měně. Variabilní sazba je</w:t>
      </w:r>
      <w:r w:rsidR="00C40701">
        <w:t> </w:t>
      </w:r>
      <w:r w:rsidR="00423A97">
        <w:t xml:space="preserve">odvozena od </w:t>
      </w:r>
      <w:r>
        <w:t xml:space="preserve">určité referenční úrokové sazby, kterou </w:t>
      </w:r>
      <w:r w:rsidR="00F478FD">
        <w:t xml:space="preserve">bývají mezibankovní úrokové sazby. </w:t>
      </w:r>
      <w:r w:rsidR="00423A97">
        <w:t>Plátce platby odvozené od fixní úrokové sazby bývá často označován jako kupující swap</w:t>
      </w:r>
      <w:r>
        <w:t>u</w:t>
      </w:r>
      <w:r w:rsidR="00423A97">
        <w:t>, plátce variabilně úročené platby je pak nazýván prodávajícím swap.</w:t>
      </w:r>
    </w:p>
    <w:p w:rsidR="00423A97" w:rsidRPr="00F478FD" w:rsidRDefault="00423A97" w:rsidP="00F478FD">
      <w:pPr>
        <w:spacing w:after="240"/>
        <w:jc w:val="both"/>
      </w:pPr>
    </w:p>
    <w:p w:rsidR="00F478FD" w:rsidRPr="00F478FD" w:rsidRDefault="00F478FD" w:rsidP="00F478FD">
      <w:pPr>
        <w:pStyle w:val="Titulek"/>
        <w:keepNext/>
        <w:spacing w:line="276" w:lineRule="auto"/>
        <w:rPr>
          <w:rFonts w:ascii="Times New Roman" w:hAnsi="Times New Roman" w:cs="Times New Roman"/>
          <w:b w:val="0"/>
          <w:color w:val="auto"/>
          <w:sz w:val="24"/>
        </w:rPr>
      </w:pPr>
      <w:bookmarkStart w:id="45" w:name="_Toc354393009"/>
      <w:r w:rsidRPr="00F478FD">
        <w:rPr>
          <w:rFonts w:ascii="Times New Roman" w:hAnsi="Times New Roman" w:cs="Times New Roman"/>
          <w:b w:val="0"/>
          <w:color w:val="auto"/>
          <w:sz w:val="24"/>
        </w:rPr>
        <w:t xml:space="preserve">Obr. </w:t>
      </w:r>
      <w:r w:rsidR="00FA567C" w:rsidRPr="00F478FD">
        <w:rPr>
          <w:rFonts w:ascii="Times New Roman" w:hAnsi="Times New Roman" w:cs="Times New Roman"/>
          <w:b w:val="0"/>
          <w:color w:val="auto"/>
          <w:sz w:val="24"/>
        </w:rPr>
        <w:fldChar w:fldCharType="begin"/>
      </w:r>
      <w:r w:rsidRPr="00F478FD">
        <w:rPr>
          <w:rFonts w:ascii="Times New Roman" w:hAnsi="Times New Roman" w:cs="Times New Roman"/>
          <w:b w:val="0"/>
          <w:color w:val="auto"/>
          <w:sz w:val="24"/>
        </w:rPr>
        <w:instrText xml:space="preserve"> SEQ Obr. \* ARABIC </w:instrText>
      </w:r>
      <w:r w:rsidR="00FA567C" w:rsidRPr="00F478FD">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3</w:t>
      </w:r>
      <w:r w:rsidR="00FA567C" w:rsidRPr="00F478FD">
        <w:rPr>
          <w:rFonts w:ascii="Times New Roman" w:hAnsi="Times New Roman" w:cs="Times New Roman"/>
          <w:b w:val="0"/>
          <w:color w:val="auto"/>
          <w:sz w:val="24"/>
        </w:rPr>
        <w:fldChar w:fldCharType="end"/>
      </w:r>
      <w:r w:rsidRPr="00F478FD">
        <w:rPr>
          <w:rFonts w:ascii="Times New Roman" w:hAnsi="Times New Roman" w:cs="Times New Roman"/>
          <w:b w:val="0"/>
          <w:color w:val="auto"/>
          <w:sz w:val="24"/>
        </w:rPr>
        <w:t>: Schéma klasického úrokového swapu</w:t>
      </w:r>
      <w:bookmarkEnd w:id="45"/>
    </w:p>
    <w:p w:rsidR="00423A97" w:rsidRDefault="00423A97" w:rsidP="00423A97">
      <w:pPr>
        <w:keepNext/>
        <w:spacing w:after="240" w:line="276" w:lineRule="auto"/>
        <w:jc w:val="center"/>
      </w:pPr>
      <w:r>
        <w:rPr>
          <w:noProof/>
          <w:lang w:eastAsia="cs-CZ"/>
        </w:rPr>
        <w:drawing>
          <wp:inline distT="0" distB="0" distL="0" distR="0">
            <wp:extent cx="4095750" cy="1219200"/>
            <wp:effectExtent l="19050" t="0" r="0" b="0"/>
            <wp:docPr id="1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095750" cy="1219200"/>
                    </a:xfrm>
                    <a:prstGeom prst="rect">
                      <a:avLst/>
                    </a:prstGeom>
                    <a:noFill/>
                    <a:ln w="9525">
                      <a:noFill/>
                      <a:miter lim="800000"/>
                      <a:headEnd/>
                      <a:tailEnd/>
                    </a:ln>
                  </pic:spPr>
                </pic:pic>
              </a:graphicData>
            </a:graphic>
          </wp:inline>
        </w:drawing>
      </w:r>
    </w:p>
    <w:p w:rsidR="00423A97" w:rsidRPr="00320170" w:rsidRDefault="00320170" w:rsidP="00320170">
      <w:pPr>
        <w:spacing w:after="240" w:line="276" w:lineRule="auto"/>
        <w:rPr>
          <w:i/>
          <w:sz w:val="20"/>
          <w:szCs w:val="20"/>
        </w:rPr>
      </w:pPr>
      <w:r>
        <w:rPr>
          <w:i/>
          <w:sz w:val="20"/>
          <w:szCs w:val="20"/>
        </w:rPr>
        <w:t xml:space="preserve">Pramen: </w:t>
      </w:r>
      <w:r w:rsidR="00423A97" w:rsidRPr="00320170">
        <w:rPr>
          <w:i/>
          <w:sz w:val="20"/>
          <w:szCs w:val="20"/>
        </w:rPr>
        <w:t>Vlastní zpracování</w:t>
      </w:r>
    </w:p>
    <w:p w:rsidR="00423A97" w:rsidRDefault="00423A97" w:rsidP="00423A97">
      <w:pPr>
        <w:spacing w:after="240" w:line="276" w:lineRule="auto"/>
        <w:jc w:val="both"/>
      </w:pPr>
    </w:p>
    <w:p w:rsidR="00423A97" w:rsidRDefault="00423A97" w:rsidP="00423A97">
      <w:pPr>
        <w:spacing w:after="240" w:line="276" w:lineRule="auto"/>
        <w:jc w:val="both"/>
      </w:pPr>
      <w:r w:rsidRPr="00AE1BEA">
        <w:t>Druhou variantou úrokových swapů je bazický úrokový swap. Ten spočívá na principu výměny dvou neznámých plateb hotovosti v</w:t>
      </w:r>
      <w:r w:rsidR="00320170">
        <w:t> </w:t>
      </w:r>
      <w:r w:rsidRPr="00AE1BEA">
        <w:t>budoucnu v</w:t>
      </w:r>
      <w:r w:rsidR="00320170">
        <w:t> </w:t>
      </w:r>
      <w:r w:rsidRPr="00AE1BEA">
        <w:t xml:space="preserve">téže měně. Obě platby jsou tedy odvozeny od </w:t>
      </w:r>
      <w:r>
        <w:t>referenčních úrokových</w:t>
      </w:r>
      <w:r w:rsidRPr="00AE1BEA">
        <w:t xml:space="preserve"> sazeb, které se navzájem liší. Může se jednat o stejnou referenční úrokovou sazbu, avšak s</w:t>
      </w:r>
      <w:r w:rsidR="00320170">
        <w:t> </w:t>
      </w:r>
      <w:r w:rsidRPr="00AE1BEA">
        <w:t>jinou dobou splatnosti</w:t>
      </w:r>
      <w:r>
        <w:rPr>
          <w:rStyle w:val="Znakapoznpodarou"/>
          <w:rFonts w:eastAsiaTheme="majorEastAsia"/>
        </w:rPr>
        <w:footnoteReference w:id="91"/>
      </w:r>
      <w:r w:rsidR="00F478FD">
        <w:t>.</w:t>
      </w:r>
    </w:p>
    <w:p w:rsidR="00F478FD" w:rsidRPr="00AE1BEA" w:rsidRDefault="00F478FD" w:rsidP="00423A97">
      <w:pPr>
        <w:spacing w:after="240" w:line="276" w:lineRule="auto"/>
        <w:jc w:val="both"/>
      </w:pPr>
    </w:p>
    <w:p w:rsidR="00F478FD" w:rsidRPr="00F478FD" w:rsidRDefault="00F478FD" w:rsidP="00F478FD">
      <w:pPr>
        <w:pStyle w:val="Titulek"/>
        <w:keepNext/>
        <w:spacing w:line="276" w:lineRule="auto"/>
        <w:rPr>
          <w:rFonts w:ascii="Times New Roman" w:hAnsi="Times New Roman" w:cs="Times New Roman"/>
          <w:b w:val="0"/>
          <w:color w:val="auto"/>
          <w:sz w:val="24"/>
        </w:rPr>
      </w:pPr>
      <w:bookmarkStart w:id="46" w:name="_Toc354393010"/>
      <w:r w:rsidRPr="00F478FD">
        <w:rPr>
          <w:rFonts w:ascii="Times New Roman" w:hAnsi="Times New Roman" w:cs="Times New Roman"/>
          <w:b w:val="0"/>
          <w:color w:val="auto"/>
          <w:sz w:val="24"/>
        </w:rPr>
        <w:t xml:space="preserve">Obr. </w:t>
      </w:r>
      <w:r w:rsidR="00FA567C" w:rsidRPr="00F478FD">
        <w:rPr>
          <w:rFonts w:ascii="Times New Roman" w:hAnsi="Times New Roman" w:cs="Times New Roman"/>
          <w:b w:val="0"/>
          <w:color w:val="auto"/>
          <w:sz w:val="24"/>
        </w:rPr>
        <w:fldChar w:fldCharType="begin"/>
      </w:r>
      <w:r w:rsidRPr="00F478FD">
        <w:rPr>
          <w:rFonts w:ascii="Times New Roman" w:hAnsi="Times New Roman" w:cs="Times New Roman"/>
          <w:b w:val="0"/>
          <w:color w:val="auto"/>
          <w:sz w:val="24"/>
        </w:rPr>
        <w:instrText xml:space="preserve"> SEQ Obr. \* ARABIC </w:instrText>
      </w:r>
      <w:r w:rsidR="00FA567C" w:rsidRPr="00F478FD">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4</w:t>
      </w:r>
      <w:r w:rsidR="00FA567C" w:rsidRPr="00F478FD">
        <w:rPr>
          <w:rFonts w:ascii="Times New Roman" w:hAnsi="Times New Roman" w:cs="Times New Roman"/>
          <w:b w:val="0"/>
          <w:color w:val="auto"/>
          <w:sz w:val="24"/>
        </w:rPr>
        <w:fldChar w:fldCharType="end"/>
      </w:r>
      <w:r w:rsidRPr="00F478FD">
        <w:rPr>
          <w:rFonts w:ascii="Times New Roman" w:hAnsi="Times New Roman" w:cs="Times New Roman"/>
          <w:b w:val="0"/>
          <w:color w:val="auto"/>
          <w:sz w:val="24"/>
        </w:rPr>
        <w:t>: Schéma bazického úrokového swapu</w:t>
      </w:r>
      <w:bookmarkEnd w:id="46"/>
    </w:p>
    <w:p w:rsidR="00423A97" w:rsidRDefault="00423A97" w:rsidP="00423A97">
      <w:pPr>
        <w:keepNext/>
        <w:spacing w:after="240" w:line="276" w:lineRule="auto"/>
        <w:jc w:val="center"/>
      </w:pPr>
      <w:r>
        <w:rPr>
          <w:noProof/>
          <w:lang w:eastAsia="cs-CZ"/>
        </w:rPr>
        <w:drawing>
          <wp:inline distT="0" distB="0" distL="0" distR="0">
            <wp:extent cx="3990975" cy="1266825"/>
            <wp:effectExtent l="19050" t="0" r="9525" b="0"/>
            <wp:docPr id="1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990975" cy="1266825"/>
                    </a:xfrm>
                    <a:prstGeom prst="rect">
                      <a:avLst/>
                    </a:prstGeom>
                    <a:noFill/>
                    <a:ln w="9525">
                      <a:noFill/>
                      <a:miter lim="800000"/>
                      <a:headEnd/>
                      <a:tailEnd/>
                    </a:ln>
                  </pic:spPr>
                </pic:pic>
              </a:graphicData>
            </a:graphic>
          </wp:inline>
        </w:drawing>
      </w:r>
    </w:p>
    <w:p w:rsidR="00423A97" w:rsidRDefault="00320170" w:rsidP="00320170">
      <w:pPr>
        <w:spacing w:after="240" w:line="276" w:lineRule="auto"/>
        <w:rPr>
          <w:i/>
          <w:sz w:val="20"/>
          <w:szCs w:val="20"/>
        </w:rPr>
      </w:pPr>
      <w:r w:rsidRPr="00320170">
        <w:rPr>
          <w:i/>
          <w:sz w:val="20"/>
          <w:szCs w:val="20"/>
        </w:rPr>
        <w:t xml:space="preserve">Pramen: </w:t>
      </w:r>
      <w:r w:rsidR="00423A97" w:rsidRPr="00320170">
        <w:rPr>
          <w:i/>
          <w:sz w:val="20"/>
          <w:szCs w:val="20"/>
        </w:rPr>
        <w:t>Vlastní zpracování</w:t>
      </w:r>
    </w:p>
    <w:p w:rsidR="00C40701" w:rsidRPr="00C40701" w:rsidRDefault="00C40701" w:rsidP="00320170">
      <w:pPr>
        <w:spacing w:after="240" w:line="276" w:lineRule="auto"/>
        <w:rPr>
          <w:szCs w:val="20"/>
        </w:rPr>
      </w:pPr>
    </w:p>
    <w:p w:rsidR="00423A97" w:rsidRDefault="00423A97" w:rsidP="00423A97">
      <w:pPr>
        <w:spacing w:after="240" w:line="276" w:lineRule="auto"/>
        <w:jc w:val="both"/>
      </w:pPr>
      <w:r>
        <w:lastRenderedPageBreak/>
        <w:t>Úrokové swapy mus</w:t>
      </w:r>
      <w:r w:rsidR="00C565CE">
        <w:t>ej</w:t>
      </w:r>
      <w:r>
        <w:t>í vždy obsahovat</w:t>
      </w:r>
      <w:r w:rsidR="00C565CE">
        <w:t xml:space="preserve"> alespoň jednu variabilně úročenou platbu</w:t>
      </w:r>
      <w:r>
        <w:t xml:space="preserve">. Vzhledem k tomu, že </w:t>
      </w:r>
      <w:r w:rsidRPr="007C6039">
        <w:t xml:space="preserve">se úrokové platby vztahují k jedné nominální hodnotě, </w:t>
      </w:r>
      <w:r w:rsidR="00C565CE">
        <w:t>není prakticky možné, resp.</w:t>
      </w:r>
      <w:r w:rsidR="00C40701">
        <w:t> </w:t>
      </w:r>
      <w:r w:rsidR="00C565CE">
        <w:t>by bylo</w:t>
      </w:r>
      <w:r w:rsidRPr="007C6039">
        <w:t xml:space="preserve"> nesmyslné, aby si protistrany navzájem platily úrokové platby odpovídající pevným úrokovým sazbám.</w:t>
      </w:r>
    </w:p>
    <w:p w:rsidR="00423A97" w:rsidRDefault="00C565CE" w:rsidP="00423A97">
      <w:pPr>
        <w:spacing w:after="240" w:line="276" w:lineRule="auto"/>
        <w:jc w:val="both"/>
      </w:pPr>
      <w:r>
        <w:t>V praxi jsou nejvíce používány</w:t>
      </w:r>
      <w:r w:rsidR="00423A97">
        <w:t xml:space="preserve"> klasické úrokové swapy. Je tomu tak z toho důvodu, že</w:t>
      </w:r>
      <w:r w:rsidR="00C40701">
        <w:t> </w:t>
      </w:r>
      <w:r w:rsidR="00423A97">
        <w:t>referenční úrokové sazby bývají na sebe navázány. Jejich pohyby jsou tedy značně korelované, a proto často z bazických úrokových swapů nemusí plynout takový potenciální zisk jako z klasických úrokových swapů.</w:t>
      </w:r>
      <w:r w:rsidR="00423A97">
        <w:rPr>
          <w:rStyle w:val="Znakapoznpodarou"/>
          <w:rFonts w:eastAsiaTheme="majorEastAsia"/>
        </w:rPr>
        <w:footnoteReference w:id="92"/>
      </w:r>
    </w:p>
    <w:p w:rsidR="00423A97" w:rsidRDefault="00423A97" w:rsidP="00423A97">
      <w:pPr>
        <w:spacing w:after="240" w:line="276" w:lineRule="auto"/>
      </w:pPr>
    </w:p>
    <w:p w:rsidR="00423A97" w:rsidRDefault="00423A97" w:rsidP="00C27CB0">
      <w:pPr>
        <w:pStyle w:val="Nadpis2"/>
      </w:pPr>
      <w:bookmarkStart w:id="47" w:name="_Toc350268415"/>
      <w:bookmarkStart w:id="48" w:name="_Toc354393061"/>
      <w:r>
        <w:t>M</w:t>
      </w:r>
      <w:bookmarkEnd w:id="47"/>
      <w:r>
        <w:t>ěnové swapy</w:t>
      </w:r>
      <w:bookmarkEnd w:id="48"/>
    </w:p>
    <w:p w:rsidR="003B1F85" w:rsidRDefault="003B1F85" w:rsidP="00423A97">
      <w:pPr>
        <w:spacing w:after="240" w:line="276" w:lineRule="auto"/>
        <w:jc w:val="both"/>
      </w:pPr>
      <w:r>
        <w:t xml:space="preserve">Měnový swap je prakticky kombinací spotové transakce a forwardového obchodu. Na začátku swapu si strany obchodu smění částku hotovosti v jedné měně za dohodnutou částku hotovosti v jiné měně, </w:t>
      </w:r>
      <w:r w:rsidR="00C565CE">
        <w:t xml:space="preserve">přičemž </w:t>
      </w:r>
      <w:r>
        <w:t>směnným kurzem je spotový měnový kurz. Ve stanovené pozdější lhůtě</w:t>
      </w:r>
      <w:r w:rsidR="00E91BB6">
        <w:t>, zpravidla však nejdříve za tři pracovní dny,</w:t>
      </w:r>
      <w:r>
        <w:t xml:space="preserve"> dojde </w:t>
      </w:r>
      <w:r w:rsidR="00C565CE">
        <w:t>k zpětnému odkoupení, resp.</w:t>
      </w:r>
      <w:r w:rsidR="00C40701">
        <w:t> </w:t>
      </w:r>
      <w:r>
        <w:t>nákupu, stejného objemu měn za forwardový měnový kurz.</w:t>
      </w:r>
      <w:r>
        <w:rPr>
          <w:rStyle w:val="Znakapoznpodarou"/>
        </w:rPr>
        <w:footnoteReference w:id="93"/>
      </w:r>
      <w:r w:rsidR="00E91BB6">
        <w:t xml:space="preserve"> Měnové</w:t>
      </w:r>
      <w:r w:rsidR="00C40701">
        <w:t xml:space="preserve"> swapy jsou často označovány</w:t>
      </w:r>
      <w:r w:rsidR="00E91BB6">
        <w:t xml:space="preserve"> jako </w:t>
      </w:r>
      <w:r w:rsidR="00E91BB6" w:rsidRPr="001F3E1C">
        <w:rPr>
          <w:i/>
        </w:rPr>
        <w:t>FX swapy</w:t>
      </w:r>
      <w:r w:rsidR="00E91BB6">
        <w:t>.</w:t>
      </w:r>
    </w:p>
    <w:p w:rsidR="003B1F85" w:rsidRDefault="003B1F85" w:rsidP="00423A97">
      <w:pPr>
        <w:spacing w:after="240" w:line="276" w:lineRule="auto"/>
        <w:jc w:val="both"/>
      </w:pPr>
    </w:p>
    <w:p w:rsidR="003B1F85" w:rsidRDefault="003B1F85" w:rsidP="00C27CB0">
      <w:pPr>
        <w:pStyle w:val="Nadpis2"/>
      </w:pPr>
      <w:bookmarkStart w:id="49" w:name="_Toc354393062"/>
      <w:r>
        <w:t>Měnovo-úrokové swapy</w:t>
      </w:r>
      <w:bookmarkEnd w:id="49"/>
    </w:p>
    <w:p w:rsidR="003B1F85" w:rsidRDefault="003B1F85" w:rsidP="00423A97">
      <w:pPr>
        <w:spacing w:after="240" w:line="276" w:lineRule="auto"/>
        <w:jc w:val="both"/>
      </w:pPr>
      <w:r>
        <w:t>Měnovo-úrokový swap je kombinací měnového a úrokového swapu. Dochází ke směně hotovosti denominované v různých měnách a zároveň mezi stranami obchodu probíhá výměna úrokových plateb.</w:t>
      </w:r>
      <w:r w:rsidR="00E91BB6">
        <w:t xml:space="preserve"> Tyto swapy mohou být označovány také jako </w:t>
      </w:r>
      <w:r w:rsidR="00E91BB6" w:rsidRPr="00E91BB6">
        <w:rPr>
          <w:i/>
        </w:rPr>
        <w:t>„Cross</w:t>
      </w:r>
      <w:r w:rsidR="00E91BB6">
        <w:rPr>
          <w:i/>
        </w:rPr>
        <w:t>-</w:t>
      </w:r>
      <w:r w:rsidR="00E91BB6" w:rsidRPr="00E91BB6">
        <w:rPr>
          <w:i/>
        </w:rPr>
        <w:t>Currency swaps“.</w:t>
      </w:r>
    </w:p>
    <w:p w:rsidR="003B1F85" w:rsidRDefault="00C565CE" w:rsidP="003B1F85">
      <w:pPr>
        <w:spacing w:after="240" w:line="276" w:lineRule="auto"/>
        <w:jc w:val="both"/>
      </w:pPr>
      <w:r>
        <w:t>Nominální částky, od</w:t>
      </w:r>
      <w:r w:rsidR="003B1F85">
        <w:t xml:space="preserve"> kterých jsou odvozovány úrokové platby, jsou u měnových swapů předmětem směny. K jejich výměně dochází na počátku swapu a zpětně při ukončení swapu. Na začátku swapu tak dochází mezi partnery obchodu k výměně nominálních hodnot denominovaných ve dvou měnách. V průběhu trvání swapu dochází pouze ke směně úrokových plateb a na konci doby splatnosti swapu si protistrany opět vymění nominální hodnoty denominované v různých měnách.</w:t>
      </w:r>
      <w:r w:rsidR="003B1F85">
        <w:rPr>
          <w:rStyle w:val="Znakapoznpodarou"/>
          <w:rFonts w:eastAsiaTheme="majorEastAsia"/>
        </w:rPr>
        <w:footnoteReference w:id="94"/>
      </w:r>
      <w:r w:rsidR="006A44EE">
        <w:t xml:space="preserve"> Na Obr. 5</w:t>
      </w:r>
      <w:r w:rsidR="003B1F85">
        <w:t xml:space="preserve"> je průběh měnovo-úrokového swapu demonstrován graficky.</w:t>
      </w:r>
    </w:p>
    <w:p w:rsidR="006A44EE" w:rsidRDefault="006A44EE" w:rsidP="003B1F85">
      <w:pPr>
        <w:spacing w:after="240" w:line="276" w:lineRule="auto"/>
        <w:jc w:val="both"/>
      </w:pPr>
    </w:p>
    <w:p w:rsidR="00ED2D3D" w:rsidRPr="00ED2D3D" w:rsidRDefault="00ED2D3D" w:rsidP="00ED2D3D">
      <w:pPr>
        <w:pStyle w:val="Titulek"/>
        <w:keepNext/>
        <w:spacing w:line="276" w:lineRule="auto"/>
        <w:rPr>
          <w:rFonts w:ascii="Times New Roman" w:hAnsi="Times New Roman" w:cs="Times New Roman"/>
          <w:b w:val="0"/>
          <w:color w:val="auto"/>
          <w:sz w:val="24"/>
        </w:rPr>
      </w:pPr>
      <w:bookmarkStart w:id="50" w:name="_Toc354393011"/>
      <w:r w:rsidRPr="00ED2D3D">
        <w:rPr>
          <w:rFonts w:ascii="Times New Roman" w:hAnsi="Times New Roman" w:cs="Times New Roman"/>
          <w:b w:val="0"/>
          <w:color w:val="auto"/>
          <w:sz w:val="24"/>
        </w:rPr>
        <w:lastRenderedPageBreak/>
        <w:t xml:space="preserve">Obr. </w:t>
      </w:r>
      <w:r w:rsidR="00FA567C" w:rsidRPr="00ED2D3D">
        <w:rPr>
          <w:rFonts w:ascii="Times New Roman" w:hAnsi="Times New Roman" w:cs="Times New Roman"/>
          <w:b w:val="0"/>
          <w:color w:val="auto"/>
          <w:sz w:val="24"/>
        </w:rPr>
        <w:fldChar w:fldCharType="begin"/>
      </w:r>
      <w:r w:rsidRPr="00ED2D3D">
        <w:rPr>
          <w:rFonts w:ascii="Times New Roman" w:hAnsi="Times New Roman" w:cs="Times New Roman"/>
          <w:b w:val="0"/>
          <w:color w:val="auto"/>
          <w:sz w:val="24"/>
        </w:rPr>
        <w:instrText xml:space="preserve"> SEQ Obr. \* ARABIC </w:instrText>
      </w:r>
      <w:r w:rsidR="00FA567C" w:rsidRPr="00ED2D3D">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5</w:t>
      </w:r>
      <w:r w:rsidR="00FA567C" w:rsidRPr="00ED2D3D">
        <w:rPr>
          <w:rFonts w:ascii="Times New Roman" w:hAnsi="Times New Roman" w:cs="Times New Roman"/>
          <w:b w:val="0"/>
          <w:color w:val="auto"/>
          <w:sz w:val="24"/>
        </w:rPr>
        <w:fldChar w:fldCharType="end"/>
      </w:r>
      <w:r w:rsidR="00BB17F2">
        <w:rPr>
          <w:rFonts w:ascii="Times New Roman" w:hAnsi="Times New Roman" w:cs="Times New Roman"/>
          <w:b w:val="0"/>
          <w:color w:val="auto"/>
          <w:sz w:val="24"/>
        </w:rPr>
        <w:t>: Schéma měnovo</w:t>
      </w:r>
      <w:r w:rsidR="003B1F85">
        <w:rPr>
          <w:rFonts w:ascii="Times New Roman" w:hAnsi="Times New Roman" w:cs="Times New Roman"/>
          <w:b w:val="0"/>
          <w:color w:val="auto"/>
          <w:sz w:val="24"/>
        </w:rPr>
        <w:t>-úrokového</w:t>
      </w:r>
      <w:r w:rsidRPr="00ED2D3D">
        <w:rPr>
          <w:rFonts w:ascii="Times New Roman" w:hAnsi="Times New Roman" w:cs="Times New Roman"/>
          <w:b w:val="0"/>
          <w:color w:val="auto"/>
          <w:sz w:val="24"/>
        </w:rPr>
        <w:t xml:space="preserve"> swapu</w:t>
      </w:r>
      <w:bookmarkEnd w:id="50"/>
    </w:p>
    <w:p w:rsidR="00423A97" w:rsidRDefault="00423A97" w:rsidP="00423A97">
      <w:pPr>
        <w:keepNext/>
        <w:spacing w:after="240" w:line="276" w:lineRule="auto"/>
        <w:jc w:val="both"/>
      </w:pPr>
      <w:r w:rsidRPr="00940DDB">
        <w:rPr>
          <w:noProof/>
          <w:lang w:eastAsia="cs-CZ"/>
        </w:rPr>
        <w:drawing>
          <wp:inline distT="0" distB="0" distL="0" distR="0">
            <wp:extent cx="5610225" cy="4267200"/>
            <wp:effectExtent l="19050" t="0" r="9525" b="0"/>
            <wp:docPr id="1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5610225" cy="4267200"/>
                    </a:xfrm>
                    <a:prstGeom prst="rect">
                      <a:avLst/>
                    </a:prstGeom>
                    <a:noFill/>
                    <a:ln w="9525">
                      <a:noFill/>
                      <a:miter lim="800000"/>
                      <a:headEnd/>
                      <a:tailEnd/>
                    </a:ln>
                  </pic:spPr>
                </pic:pic>
              </a:graphicData>
            </a:graphic>
          </wp:inline>
        </w:drawing>
      </w:r>
    </w:p>
    <w:p w:rsidR="00423A97" w:rsidRPr="009E5CB3" w:rsidRDefault="00320170" w:rsidP="00320170">
      <w:pPr>
        <w:spacing w:after="240" w:line="276" w:lineRule="auto"/>
        <w:jc w:val="both"/>
        <w:rPr>
          <w:sz w:val="20"/>
        </w:rPr>
      </w:pPr>
      <w:r>
        <w:rPr>
          <w:i/>
          <w:sz w:val="20"/>
        </w:rPr>
        <w:t xml:space="preserve">Pramen: </w:t>
      </w:r>
      <w:r w:rsidR="00423A97" w:rsidRPr="00320170">
        <w:rPr>
          <w:i/>
          <w:sz w:val="20"/>
        </w:rPr>
        <w:t>Vlastní zpracování</w:t>
      </w:r>
      <w:r w:rsidR="00ED2D3D">
        <w:rPr>
          <w:sz w:val="20"/>
        </w:rPr>
        <w:t xml:space="preserve"> </w:t>
      </w:r>
      <w:r w:rsidR="00ED2D3D" w:rsidRPr="00E3304D">
        <w:rPr>
          <w:i/>
          <w:sz w:val="20"/>
        </w:rPr>
        <w:t>dle:</w:t>
      </w:r>
      <w:r w:rsidR="00ED2D3D">
        <w:rPr>
          <w:sz w:val="20"/>
        </w:rPr>
        <w:t xml:space="preserve"> </w:t>
      </w:r>
      <w:r w:rsidR="00ED2D3D" w:rsidRPr="00ED2D3D">
        <w:rPr>
          <w:sz w:val="20"/>
          <w:szCs w:val="20"/>
          <w:lang w:eastAsia="cs-CZ"/>
        </w:rPr>
        <w:t xml:space="preserve">DVOŘÁK, Petr. </w:t>
      </w:r>
      <w:r w:rsidR="00ED2D3D" w:rsidRPr="00ED2D3D">
        <w:rPr>
          <w:i/>
          <w:iCs/>
          <w:sz w:val="20"/>
          <w:szCs w:val="20"/>
          <w:lang w:eastAsia="cs-CZ"/>
        </w:rPr>
        <w:t>Přednášky z finančních derivátů</w:t>
      </w:r>
      <w:r w:rsidR="00ED2D3D" w:rsidRPr="00ED2D3D">
        <w:rPr>
          <w:sz w:val="20"/>
          <w:szCs w:val="20"/>
          <w:lang w:eastAsia="cs-CZ"/>
        </w:rPr>
        <w:t xml:space="preserve">. Vyd. 1. V Praze: Vysoká škola ekonomická v Praze, 2000, 123 s. ISBN 8024501031. s. </w:t>
      </w:r>
      <w:r w:rsidR="00ED2D3D" w:rsidRPr="00ED2D3D">
        <w:rPr>
          <w:sz w:val="20"/>
          <w:szCs w:val="20"/>
        </w:rPr>
        <w:t>67</w:t>
      </w:r>
    </w:p>
    <w:p w:rsidR="00423A97" w:rsidRDefault="00423A97" w:rsidP="00423A97">
      <w:pPr>
        <w:spacing w:after="240" w:line="276" w:lineRule="auto"/>
        <w:jc w:val="both"/>
      </w:pPr>
    </w:p>
    <w:p w:rsidR="00ED2D3D" w:rsidRDefault="00C565CE" w:rsidP="00423A97">
      <w:pPr>
        <w:spacing w:after="240" w:line="276" w:lineRule="auto"/>
        <w:jc w:val="both"/>
      </w:pPr>
      <w:r>
        <w:t>Měnovo-úrokové</w:t>
      </w:r>
      <w:r w:rsidR="00ED2D3D">
        <w:t xml:space="preserve"> swapy </w:t>
      </w:r>
      <w:r>
        <w:t>je možné</w:t>
      </w:r>
      <w:r w:rsidR="00ED2D3D">
        <w:t xml:space="preserve"> dělit na klasické měnové swapy, </w:t>
      </w:r>
      <w:r>
        <w:t>křížové měnové swapy a</w:t>
      </w:r>
      <w:r w:rsidR="00C40701">
        <w:t> </w:t>
      </w:r>
      <w:r>
        <w:t>bazické měnové swapy</w:t>
      </w:r>
      <w:r w:rsidR="00ED2D3D">
        <w:t>.</w:t>
      </w:r>
      <w:r w:rsidR="00C40701" w:rsidRPr="00C40701">
        <w:rPr>
          <w:rStyle w:val="Znakapoznpodarou"/>
          <w:rFonts w:eastAsiaTheme="majorEastAsia"/>
        </w:rPr>
        <w:t xml:space="preserve"> </w:t>
      </w:r>
      <w:r w:rsidR="00C40701">
        <w:rPr>
          <w:rStyle w:val="Znakapoznpodarou"/>
          <w:rFonts w:eastAsiaTheme="majorEastAsia"/>
        </w:rPr>
        <w:footnoteReference w:id="95"/>
      </w:r>
    </w:p>
    <w:p w:rsidR="00ED2D3D" w:rsidRDefault="00423A97" w:rsidP="00423A97">
      <w:pPr>
        <w:spacing w:after="240" w:line="276" w:lineRule="auto"/>
        <w:jc w:val="both"/>
      </w:pPr>
      <w:r>
        <w:t xml:space="preserve">Pokud jsou obě směňované částky hotovosti pevně stanovené, tedy úročené pevnou úrokovou sazbou, potom hovoříme o klasickém </w:t>
      </w:r>
      <w:r w:rsidR="00ED2D3D">
        <w:t>měnovém</w:t>
      </w:r>
      <w:r>
        <w:t xml:space="preserve"> swapu. </w:t>
      </w:r>
      <w:r w:rsidR="004E195D">
        <w:t xml:space="preserve">Motivem ke sjednání toho swapu může být získání prostředků denominovaných v jiné měně či zajištění měnového rizika. </w:t>
      </w:r>
      <w:r>
        <w:t>S ohledem na fixní platby obou protistran</w:t>
      </w:r>
      <w:r w:rsidR="004E195D">
        <w:t xml:space="preserve"> však</w:t>
      </w:r>
      <w:r>
        <w:t xml:space="preserve"> nelze tento typ měnového swapu použít k zajištění </w:t>
      </w:r>
      <w:r w:rsidR="006D3C87">
        <w:t>úrokového</w:t>
      </w:r>
      <w:r>
        <w:t xml:space="preserve"> rizika.</w:t>
      </w:r>
    </w:p>
    <w:p w:rsidR="004E195D" w:rsidRDefault="004E195D" w:rsidP="004E195D">
      <w:pPr>
        <w:spacing w:after="240" w:line="276" w:lineRule="auto"/>
        <w:jc w:val="both"/>
      </w:pPr>
      <w:r>
        <w:t xml:space="preserve">Křížovým měnovým swapem je swap, který kombinuje platbu pevné částky hotovosti v jedné měně oproti platbě dosud neznámé částky hotovosti v jiné měně. Tento typ </w:t>
      </w:r>
      <w:r w:rsidR="00C565CE">
        <w:t>měnového</w:t>
      </w:r>
      <w:r>
        <w:t xml:space="preserve"> swapu je již možné použít také k zajištění úrokového rizika.</w:t>
      </w:r>
    </w:p>
    <w:p w:rsidR="00983150" w:rsidRDefault="00423A97" w:rsidP="00ED56BD">
      <w:pPr>
        <w:spacing w:after="240" w:line="276" w:lineRule="auto"/>
        <w:jc w:val="both"/>
      </w:pPr>
      <w:r>
        <w:t xml:space="preserve">Bazický </w:t>
      </w:r>
      <w:r w:rsidR="00ED2D3D">
        <w:t>měnový</w:t>
      </w:r>
      <w:r>
        <w:t xml:space="preserve"> swap je pak takový</w:t>
      </w:r>
      <w:r w:rsidR="004E195D">
        <w:t>m</w:t>
      </w:r>
      <w:r>
        <w:t xml:space="preserve"> swap</w:t>
      </w:r>
      <w:r w:rsidR="004E195D">
        <w:t>em</w:t>
      </w:r>
      <w:r>
        <w:t xml:space="preserve">, u kterého dochází k výměně neznámých částek hotovosti v jedné měně za dosud neznámé částky hotovosti v jiné měně. </w:t>
      </w:r>
      <w:r w:rsidR="004E195D">
        <w:t xml:space="preserve">Dochází tedy </w:t>
      </w:r>
      <w:r w:rsidR="004E195D">
        <w:lastRenderedPageBreak/>
        <w:t>k úročení obou plateb variabilní úrokovou sazbou. Obě referenční úrokové míry se od sebe liší.</w:t>
      </w:r>
    </w:p>
    <w:p w:rsidR="00983150" w:rsidRDefault="00983150">
      <w:pPr>
        <w:suppressAutoHyphens w:val="0"/>
        <w:spacing w:after="200" w:line="276" w:lineRule="auto"/>
      </w:pPr>
      <w:r>
        <w:br w:type="page"/>
      </w:r>
    </w:p>
    <w:p w:rsidR="00983150" w:rsidRDefault="00983150" w:rsidP="007616BB">
      <w:pPr>
        <w:pStyle w:val="Nadpis1"/>
      </w:pPr>
      <w:bookmarkStart w:id="51" w:name="_Toc350268263"/>
      <w:bookmarkStart w:id="52" w:name="_Toc354393063"/>
      <w:r>
        <w:lastRenderedPageBreak/>
        <w:t>OPCE</w:t>
      </w:r>
      <w:bookmarkEnd w:id="51"/>
      <w:bookmarkEnd w:id="52"/>
    </w:p>
    <w:p w:rsidR="00983150" w:rsidRPr="00983150" w:rsidRDefault="00983150" w:rsidP="00983150">
      <w:pPr>
        <w:spacing w:after="240" w:line="276" w:lineRule="auto"/>
        <w:rPr>
          <w:lang w:eastAsia="cs-CZ"/>
        </w:rPr>
      </w:pPr>
    </w:p>
    <w:p w:rsidR="00983150" w:rsidRDefault="00983150" w:rsidP="00983150">
      <w:pPr>
        <w:spacing w:after="240" w:line="276" w:lineRule="auto"/>
        <w:jc w:val="both"/>
      </w:pPr>
      <w:r>
        <w:t>Opce patří mezi podmíněné derivátové instrumenty. Kupujícímu opce tentokrát vzniká právo, nikoli povinnost, opci v době splatnosti za předem stanovených podmínek</w:t>
      </w:r>
      <w:r w:rsidR="006D3C87" w:rsidRPr="006D3C87">
        <w:t xml:space="preserve"> </w:t>
      </w:r>
      <w:r w:rsidR="006D3C87">
        <w:t>uplatnit</w:t>
      </w:r>
      <w:r w:rsidR="00E4331E">
        <w:t>. Prodávající</w:t>
      </w:r>
      <w:r>
        <w:t xml:space="preserve"> neboli vypisovatel opce však tuto volbu nemá. Pokud se kupující rozhodne opci uplatnit, je prodávající povinen dostát svým závazkům plynoucím z opčního obchodu.</w:t>
      </w:r>
    </w:p>
    <w:p w:rsidR="00983150" w:rsidRDefault="00983150" w:rsidP="00983150">
      <w:pPr>
        <w:spacing w:after="240" w:line="276" w:lineRule="auto"/>
        <w:jc w:val="both"/>
      </w:pPr>
      <w:r>
        <w:t>S opcemi se obchoduje jak na specializovaných termínových burzách, tak také mimoburzovně, na OTC trzích. Stejně jako u futures jsou b</w:t>
      </w:r>
      <w:r w:rsidR="006D3C87">
        <w:t>urzovní opce standardizovány a zásadní roli zde</w:t>
      </w:r>
      <w:r>
        <w:t xml:space="preserve"> hraje clearingové centrum</w:t>
      </w:r>
      <w:r>
        <w:rPr>
          <w:rStyle w:val="Znakapoznpodarou"/>
          <w:rFonts w:eastAsiaTheme="majorEastAsia"/>
        </w:rPr>
        <w:footnoteReference w:id="96"/>
      </w:r>
      <w:r>
        <w:t>.</w:t>
      </w:r>
    </w:p>
    <w:p w:rsidR="006E0719" w:rsidRDefault="006E0719" w:rsidP="00983150">
      <w:pPr>
        <w:spacing w:after="240" w:line="276" w:lineRule="auto"/>
        <w:jc w:val="both"/>
      </w:pPr>
      <w:r>
        <w:t>Při sjednání opce dochází, stejně jako u všech předchozích typů derivátů, ke stanovení všech podmínek obchodu. Strany obchodu stanovují především podkladové aktivum, jeho budoucí cenu a termín splatnosti opce. Budoucí cena opce, tedy c</w:t>
      </w:r>
      <w:r w:rsidR="00983150">
        <w:t xml:space="preserve">ena, za kterou je kupující opce oprávněn opci uplatnit, se nazývá realizační cena. </w:t>
      </w:r>
    </w:p>
    <w:p w:rsidR="00983150" w:rsidRDefault="00983150" w:rsidP="00983150">
      <w:pPr>
        <w:spacing w:after="240" w:line="276" w:lineRule="auto"/>
        <w:jc w:val="both"/>
      </w:pPr>
      <w:r>
        <w:t xml:space="preserve">Kupující opce je povinen </w:t>
      </w:r>
      <w:r w:rsidR="006E0719">
        <w:t xml:space="preserve">zpravidla při sjednání kontraktu </w:t>
      </w:r>
      <w:r>
        <w:t>zapla</w:t>
      </w:r>
      <w:r w:rsidR="0028244A">
        <w:t>tit prodávajícímu opce tzv. </w:t>
      </w:r>
      <w:r>
        <w:t xml:space="preserve">opční prémii. Tu v zásadě platí za to, že je mu umožněno právo volby uplatnění opce. </w:t>
      </w:r>
      <w:r w:rsidR="006D3C87">
        <w:t>Pro</w:t>
      </w:r>
      <w:r w:rsidR="0028244A">
        <w:t> </w:t>
      </w:r>
      <w:r w:rsidR="006D3C87">
        <w:t xml:space="preserve">prodávajícího opce znamená opční prémie cenu za podstupované riziko. </w:t>
      </w:r>
      <w:r w:rsidR="006E0719">
        <w:t>Opční prémi</w:t>
      </w:r>
      <w:r w:rsidR="0028244A">
        <w:t>e</w:t>
      </w:r>
      <w:r w:rsidR="006E0719">
        <w:t xml:space="preserve"> </w:t>
      </w:r>
      <w:r w:rsidR="006D3C87">
        <w:t>představuje</w:t>
      </w:r>
      <w:r>
        <w:t xml:space="preserve"> hodnotu opce v době sjednání kontraktu.</w:t>
      </w:r>
    </w:p>
    <w:p w:rsidR="00983150" w:rsidRPr="00241A5A" w:rsidRDefault="00983150" w:rsidP="00983150">
      <w:pPr>
        <w:spacing w:after="240" w:line="276" w:lineRule="auto"/>
        <w:jc w:val="both"/>
      </w:pPr>
      <w:r>
        <w:t xml:space="preserve">Kupující opce má tedy </w:t>
      </w:r>
      <w:r w:rsidR="006D3C87">
        <w:t>právo volby,</w:t>
      </w:r>
      <w:r w:rsidR="0028244A">
        <w:t xml:space="preserve"> zda</w:t>
      </w:r>
      <w:r w:rsidRPr="00241A5A">
        <w:t xml:space="preserve"> opci do doby splatnosti</w:t>
      </w:r>
      <w:r w:rsidR="006D3C87">
        <w:t xml:space="preserve"> uplatní</w:t>
      </w:r>
      <w:r w:rsidRPr="00241A5A">
        <w:t xml:space="preserve"> či nikoli. </w:t>
      </w:r>
      <w:r>
        <w:t>Prakticky má majitel opce obchodující burzovně tři možnosti: může opci uplatnit, může uzavřít svou pozici zrcadlovým obchodem a ukončit tak obchodování s danou opcí nebo se rozhodne opci neupl</w:t>
      </w:r>
      <w:r w:rsidR="009A3F25">
        <w:t xml:space="preserve">atnit a opce propadne. Pokud ji </w:t>
      </w:r>
      <w:r>
        <w:t>majitel opce neuplatní, pak se opce stává bezcennou a</w:t>
      </w:r>
      <w:r w:rsidR="009A3F25">
        <w:t> </w:t>
      </w:r>
      <w:r>
        <w:t>její obchodování je ukončeno. Oproti kupujícímu má prodávající opce pouze dvě možnosti, jak s opcí naložit: prodá nebo koupí sjednané podkladové aktivum v případě uplatnění opce nebo uzavře svou pozici na trhu.</w:t>
      </w:r>
    </w:p>
    <w:p w:rsidR="00983150" w:rsidRPr="00241A5A" w:rsidRDefault="00983150" w:rsidP="00983150">
      <w:pPr>
        <w:spacing w:after="240" w:line="276" w:lineRule="auto"/>
        <w:jc w:val="both"/>
      </w:pPr>
      <w:r w:rsidRPr="00241A5A">
        <w:t>Podle základních charakteristik lze opce rozdělit na dvě základní skupiny</w:t>
      </w:r>
      <w:r>
        <w:t xml:space="preserve">: </w:t>
      </w:r>
      <w:r w:rsidRPr="00241A5A">
        <w:t xml:space="preserve">základní druhy opčních instrumentů, tzv. </w:t>
      </w:r>
      <w:r w:rsidRPr="00E3304D">
        <w:rPr>
          <w:i/>
        </w:rPr>
        <w:t>„Plain Vanilla“</w:t>
      </w:r>
      <w:r w:rsidRPr="00241A5A">
        <w:t xml:space="preserve"> opce</w:t>
      </w:r>
      <w:r w:rsidR="0028244A">
        <w:t>,</w:t>
      </w:r>
      <w:r w:rsidRPr="00241A5A">
        <w:t xml:space="preserve"> a exotické opce. Exotické opce se vyznačují specifickými vlastnostmi</w:t>
      </w:r>
      <w:r w:rsidR="009A3F25">
        <w:t xml:space="preserve">, jejich hodnota je odvozována nestandardními způsoby od hodnoty podkladových aktiv. </w:t>
      </w:r>
      <w:r w:rsidR="00977499">
        <w:t>Těmito instrumenty se však tato práce z důvodu omezeného rozsahu nebude dále zabývat</w:t>
      </w:r>
      <w:r w:rsidRPr="00241A5A">
        <w:t>.</w:t>
      </w:r>
      <w:r>
        <w:t xml:space="preserve"> Následující text se tedy týká </w:t>
      </w:r>
      <w:r w:rsidRPr="00E3304D">
        <w:rPr>
          <w:i/>
        </w:rPr>
        <w:t>„Plain Vanilla“</w:t>
      </w:r>
      <w:r>
        <w:t xml:space="preserve"> opcí.</w:t>
      </w:r>
    </w:p>
    <w:p w:rsidR="00983150" w:rsidRDefault="00977499" w:rsidP="00983150">
      <w:pPr>
        <w:spacing w:after="240" w:line="276" w:lineRule="auto"/>
        <w:jc w:val="both"/>
      </w:pPr>
      <w:r>
        <w:t>Opce je možno dělit</w:t>
      </w:r>
      <w:r w:rsidR="00983150" w:rsidRPr="009E7E16">
        <w:t xml:space="preserve"> na kupní a prodejní opce, které se také jinak nazývají call a put opce. V případě kupní opce získává kupující opce právo při splatnosti koupit dané podkladové aktivum. Pokud</w:t>
      </w:r>
      <w:r w:rsidR="009A3F25">
        <w:t xml:space="preserve"> investor</w:t>
      </w:r>
      <w:r w:rsidR="00983150" w:rsidRPr="009E7E16">
        <w:t xml:space="preserve"> koupí prodejní opci, získává naopak právo prodat dané podkladové </w:t>
      </w:r>
      <w:r w:rsidR="00983150" w:rsidRPr="009E7E16">
        <w:lastRenderedPageBreak/>
        <w:t xml:space="preserve">aktivum. Subjekt, který kupuje opci, se nachází v dlouhé </w:t>
      </w:r>
      <w:r>
        <w:t>(</w:t>
      </w:r>
      <w:r w:rsidR="00983150" w:rsidRPr="009E7E16">
        <w:t>long</w:t>
      </w:r>
      <w:r>
        <w:t>)</w:t>
      </w:r>
      <w:r w:rsidR="00983150" w:rsidRPr="009E7E16">
        <w:t xml:space="preserve"> pozici. Naopak ten, který pro</w:t>
      </w:r>
      <w:r>
        <w:t>dává opci, se nachází v krátké</w:t>
      </w:r>
      <w:r w:rsidR="00983150" w:rsidRPr="009E7E16">
        <w:t> </w:t>
      </w:r>
      <w:r>
        <w:t>(</w:t>
      </w:r>
      <w:r w:rsidR="00983150" w:rsidRPr="009E7E16">
        <w:t>short</w:t>
      </w:r>
      <w:r>
        <w:t>)</w:t>
      </w:r>
      <w:r w:rsidR="00983150" w:rsidRPr="009E7E16">
        <w:t xml:space="preserve"> pozici.</w:t>
      </w:r>
      <w:r w:rsidR="009A3F25">
        <w:t xml:space="preserve"> Podle těchto pozic </w:t>
      </w:r>
      <w:r>
        <w:t>lze rozlišit opce</w:t>
      </w:r>
      <w:r w:rsidR="009A3F25">
        <w:t xml:space="preserve"> </w:t>
      </w:r>
      <w:r w:rsidR="0028244A">
        <w:t xml:space="preserve">na </w:t>
      </w:r>
      <w:r w:rsidR="009A3F25">
        <w:t>long call, short call a long put, short put</w:t>
      </w:r>
      <w:r>
        <w:t xml:space="preserve"> opce</w:t>
      </w:r>
      <w:r w:rsidR="009A3F25">
        <w:t>.</w:t>
      </w:r>
    </w:p>
    <w:p w:rsidR="00983150" w:rsidRDefault="00983150" w:rsidP="00983150">
      <w:pPr>
        <w:spacing w:after="240" w:line="276" w:lineRule="auto"/>
        <w:jc w:val="both"/>
      </w:pPr>
    </w:p>
    <w:p w:rsidR="009A3F25" w:rsidRPr="009A3F25" w:rsidRDefault="009A3F25" w:rsidP="009A3F25">
      <w:pPr>
        <w:pStyle w:val="Titulek"/>
        <w:keepNext/>
        <w:spacing w:line="276" w:lineRule="auto"/>
        <w:rPr>
          <w:rFonts w:ascii="Times New Roman" w:hAnsi="Times New Roman" w:cs="Times New Roman"/>
          <w:b w:val="0"/>
          <w:color w:val="auto"/>
          <w:sz w:val="24"/>
        </w:rPr>
      </w:pPr>
      <w:bookmarkStart w:id="53" w:name="_Toc354393012"/>
      <w:r w:rsidRPr="009A3F25">
        <w:rPr>
          <w:rFonts w:ascii="Times New Roman" w:hAnsi="Times New Roman" w:cs="Times New Roman"/>
          <w:b w:val="0"/>
          <w:color w:val="auto"/>
          <w:sz w:val="24"/>
        </w:rPr>
        <w:t xml:space="preserve">Obr. </w:t>
      </w:r>
      <w:r w:rsidR="00FA567C" w:rsidRPr="009A3F25">
        <w:rPr>
          <w:rFonts w:ascii="Times New Roman" w:hAnsi="Times New Roman" w:cs="Times New Roman"/>
          <w:b w:val="0"/>
          <w:color w:val="auto"/>
          <w:sz w:val="24"/>
        </w:rPr>
        <w:fldChar w:fldCharType="begin"/>
      </w:r>
      <w:r w:rsidRPr="009A3F25">
        <w:rPr>
          <w:rFonts w:ascii="Times New Roman" w:hAnsi="Times New Roman" w:cs="Times New Roman"/>
          <w:b w:val="0"/>
          <w:color w:val="auto"/>
          <w:sz w:val="24"/>
        </w:rPr>
        <w:instrText xml:space="preserve"> SEQ Obr. \* ARABIC </w:instrText>
      </w:r>
      <w:r w:rsidR="00FA567C" w:rsidRPr="009A3F25">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6</w:t>
      </w:r>
      <w:r w:rsidR="00FA567C" w:rsidRPr="009A3F25">
        <w:rPr>
          <w:rFonts w:ascii="Times New Roman" w:hAnsi="Times New Roman" w:cs="Times New Roman"/>
          <w:b w:val="0"/>
          <w:color w:val="auto"/>
          <w:sz w:val="24"/>
        </w:rPr>
        <w:fldChar w:fldCharType="end"/>
      </w:r>
      <w:r w:rsidRPr="009A3F25">
        <w:rPr>
          <w:rFonts w:ascii="Times New Roman" w:hAnsi="Times New Roman" w:cs="Times New Roman"/>
          <w:b w:val="0"/>
          <w:color w:val="auto"/>
          <w:sz w:val="24"/>
        </w:rPr>
        <w:t>: Základní dělení opcí</w:t>
      </w:r>
      <w:bookmarkEnd w:id="53"/>
    </w:p>
    <w:p w:rsidR="00983150" w:rsidRDefault="00983150" w:rsidP="00983150">
      <w:pPr>
        <w:keepNext/>
        <w:spacing w:after="240" w:line="276" w:lineRule="auto"/>
        <w:jc w:val="center"/>
      </w:pPr>
      <w:r>
        <w:rPr>
          <w:noProof/>
          <w:lang w:eastAsia="cs-CZ"/>
        </w:rPr>
        <w:drawing>
          <wp:inline distT="0" distB="0" distL="0" distR="0">
            <wp:extent cx="4133850" cy="2171700"/>
            <wp:effectExtent l="38100" t="0" r="57150" b="0"/>
            <wp:docPr id="13"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320170" w:rsidRPr="00320170" w:rsidRDefault="00320170" w:rsidP="00320170">
      <w:pPr>
        <w:keepNext/>
        <w:spacing w:after="240" w:line="276" w:lineRule="auto"/>
        <w:rPr>
          <w:i/>
          <w:sz w:val="20"/>
          <w:szCs w:val="20"/>
        </w:rPr>
      </w:pPr>
      <w:r>
        <w:rPr>
          <w:i/>
          <w:sz w:val="20"/>
          <w:szCs w:val="20"/>
        </w:rPr>
        <w:t>Pramen: Vlastní zpracování</w:t>
      </w:r>
    </w:p>
    <w:p w:rsidR="00FB19E0" w:rsidRDefault="00FB19E0" w:rsidP="00FB19E0">
      <w:pPr>
        <w:keepNext/>
        <w:spacing w:after="240" w:line="276" w:lineRule="auto"/>
      </w:pPr>
    </w:p>
    <w:p w:rsidR="00983150" w:rsidRPr="009E7E16" w:rsidRDefault="00983150" w:rsidP="00983150">
      <w:pPr>
        <w:spacing w:after="240" w:line="276" w:lineRule="auto"/>
        <w:jc w:val="both"/>
      </w:pPr>
      <w:r>
        <w:t xml:space="preserve">Tyto typy opcí </w:t>
      </w:r>
      <w:r w:rsidR="00977499">
        <w:t xml:space="preserve">lze </w:t>
      </w:r>
      <w:r>
        <w:t xml:space="preserve">dále rozdělit do </w:t>
      </w:r>
      <w:r w:rsidR="00FB19E0">
        <w:t>tříd a sérií</w:t>
      </w:r>
      <w:r w:rsidRPr="00FB19E0">
        <w:t xml:space="preserve">. </w:t>
      </w:r>
      <w:r>
        <w:t>Třída opce obsahuje opce stejné</w:t>
      </w:r>
      <w:r w:rsidR="00FB19E0">
        <w:t>ho typu, tedy</w:t>
      </w:r>
      <w:r w:rsidR="00B70BCA">
        <w:t> </w:t>
      </w:r>
      <w:r w:rsidR="00FB19E0">
        <w:t>opce kupní nebo</w:t>
      </w:r>
      <w:r>
        <w:t xml:space="preserve"> prodejní, ke kterým se vztahuje stejné podkladové aktivum. Opce stejné série spadají do stejné třídy a mají rovněž shodnou realizační cenu a</w:t>
      </w:r>
      <w:r w:rsidR="00FB19E0">
        <w:t> </w:t>
      </w:r>
      <w:r>
        <w:t>termín splatnosti.</w:t>
      </w:r>
      <w:r>
        <w:rPr>
          <w:rStyle w:val="Znakapoznpodarou"/>
          <w:rFonts w:eastAsiaTheme="majorEastAsia"/>
        </w:rPr>
        <w:footnoteReference w:id="97"/>
      </w:r>
    </w:p>
    <w:p w:rsidR="00983150" w:rsidRDefault="00184FE5" w:rsidP="00983150">
      <w:pPr>
        <w:spacing w:after="240" w:line="276" w:lineRule="auto"/>
        <w:jc w:val="both"/>
      </w:pPr>
      <w:r>
        <w:t xml:space="preserve">Podle doby splatnosti </w:t>
      </w:r>
      <w:r w:rsidR="00977499">
        <w:t>se</w:t>
      </w:r>
      <w:r>
        <w:t xml:space="preserve"> opce</w:t>
      </w:r>
      <w:r w:rsidR="00983150">
        <w:t xml:space="preserve"> </w:t>
      </w:r>
      <w:r w:rsidR="00977499">
        <w:t xml:space="preserve">dělí </w:t>
      </w:r>
      <w:r w:rsidR="00983150">
        <w:t>na evropské a americké opce</w:t>
      </w:r>
      <w:r>
        <w:rPr>
          <w:rStyle w:val="Znakapoznpodarou"/>
          <w:rFonts w:eastAsiaTheme="majorEastAsia"/>
        </w:rPr>
        <w:footnoteReference w:id="98"/>
      </w:r>
      <w:r w:rsidR="00983150">
        <w:t>.</w:t>
      </w:r>
      <w:r w:rsidRPr="00184FE5">
        <w:rPr>
          <w:rStyle w:val="Znakapoznpodarou"/>
          <w:rFonts w:eastAsiaTheme="majorEastAsia"/>
        </w:rPr>
        <w:t xml:space="preserve"> </w:t>
      </w:r>
      <w:r w:rsidR="00983150">
        <w:t>Evropsk</w:t>
      </w:r>
      <w:r w:rsidR="00977499">
        <w:t>é opce</w:t>
      </w:r>
      <w:r>
        <w:t xml:space="preserve"> </w:t>
      </w:r>
      <w:r w:rsidR="00B70BCA">
        <w:t xml:space="preserve">může </w:t>
      </w:r>
      <w:r w:rsidR="00983150">
        <w:t>kupující opce uplatnit pouze v</w:t>
      </w:r>
      <w:r w:rsidR="00B70BCA">
        <w:t> </w:t>
      </w:r>
      <w:r w:rsidR="00983150">
        <w:t>den</w:t>
      </w:r>
      <w:r w:rsidR="00B70BCA">
        <w:t xml:space="preserve"> splatnosti opce</w:t>
      </w:r>
      <w:r w:rsidR="00983150">
        <w:t xml:space="preserve">. U amerických opcí </w:t>
      </w:r>
      <w:r w:rsidR="00B70BCA">
        <w:t xml:space="preserve">může </w:t>
      </w:r>
      <w:r w:rsidR="00983150">
        <w:t xml:space="preserve">kupující opce </w:t>
      </w:r>
      <w:r w:rsidR="00B70BCA">
        <w:t xml:space="preserve">své právo </w:t>
      </w:r>
      <w:r w:rsidR="00983150">
        <w:t>uplatnit kdykoli v průběhu trvání opce, a to do d</w:t>
      </w:r>
      <w:r>
        <w:t>ata</w:t>
      </w:r>
      <w:r w:rsidR="00983150">
        <w:t xml:space="preserve"> splatnosti op</w:t>
      </w:r>
      <w:r w:rsidR="00B70BCA">
        <w:t>ce.</w:t>
      </w:r>
    </w:p>
    <w:p w:rsidR="00B54D46" w:rsidRDefault="00983150" w:rsidP="000D27E4">
      <w:pPr>
        <w:spacing w:after="240" w:line="276" w:lineRule="auto"/>
        <w:jc w:val="both"/>
        <w:rPr>
          <w:szCs w:val="20"/>
        </w:rPr>
      </w:pPr>
      <w:r>
        <w:t>Opce</w:t>
      </w:r>
      <w:r w:rsidR="000D27E4">
        <w:t xml:space="preserve"> lze také</w:t>
      </w:r>
      <w:r>
        <w:t xml:space="preserve"> opět rozlišovat dle druhu podkladového akti</w:t>
      </w:r>
      <w:r w:rsidR="00687909">
        <w:t xml:space="preserve">va. </w:t>
      </w:r>
      <w:r w:rsidR="000D27E4">
        <w:t xml:space="preserve">Burzovnímu i OTC trhu dominují úrokové opce. Dle nominální hodnoty představují na obou trzích více jak tři čtvrtiny celkové hodnoty. Přibližně 17 % OTC trhů </w:t>
      </w:r>
      <w:r w:rsidR="00B70BCA">
        <w:t xml:space="preserve">pak </w:t>
      </w:r>
      <w:r w:rsidR="000D27E4">
        <w:t xml:space="preserve">z hlediska nominální hodnoty představují měnové opce. Na burzovních trzích však tyto opce již hrají bezvýznamnou roli, </w:t>
      </w:r>
      <w:r w:rsidR="000D27E4">
        <w:rPr>
          <w:szCs w:val="20"/>
        </w:rPr>
        <w:t>v nominálním vyjádření jejich podíl nedosahuje ani jednoho procenta v celkové struktuře burzovního obchodování opcí.</w:t>
      </w:r>
      <w:r w:rsidR="000D27E4">
        <w:rPr>
          <w:rStyle w:val="Znakapoznpodarou"/>
          <w:szCs w:val="20"/>
        </w:rPr>
        <w:footnoteReference w:id="99"/>
      </w:r>
      <w:r w:rsidR="00B54D46">
        <w:rPr>
          <w:szCs w:val="20"/>
        </w:rPr>
        <w:t xml:space="preserve"> </w:t>
      </w:r>
    </w:p>
    <w:p w:rsidR="000D27E4" w:rsidRDefault="004A42C4" w:rsidP="00B54D46">
      <w:pPr>
        <w:spacing w:after="240" w:line="276" w:lineRule="auto"/>
        <w:jc w:val="both"/>
      </w:pPr>
      <w:r>
        <w:lastRenderedPageBreak/>
        <w:t>V poslední době stále na</w:t>
      </w:r>
      <w:r w:rsidR="00B54D46">
        <w:t>bývají na významu tzv. opce na futures, které byly vytvořeny v</w:t>
      </w:r>
      <w:r>
        <w:t> </w:t>
      </w:r>
      <w:r w:rsidR="00B54D46">
        <w:t>roce</w:t>
      </w:r>
      <w:r>
        <w:t> </w:t>
      </w:r>
      <w:r w:rsidR="00B54D46">
        <w:t>1982. Podkladovým aktivem takových opcí jsou futures kontrakty. V současné době jsou trhy s futures často likvidnější než trhy s danými podkladovými aktivy. Investoři preferují obchodování s likvidnějšími instrumenty</w:t>
      </w:r>
      <w:r>
        <w:t>, tedy s futures kontrakty a v návaznosti na ně s opcemi na futures</w:t>
      </w:r>
      <w:r w:rsidR="00B54D46">
        <w:t>.</w:t>
      </w:r>
      <w:r w:rsidR="00B54D46">
        <w:rPr>
          <w:rStyle w:val="Znakapoznpodarou"/>
        </w:rPr>
        <w:footnoteReference w:id="100"/>
      </w:r>
    </w:p>
    <w:p w:rsidR="00B54D46" w:rsidRDefault="00B54D46" w:rsidP="00B54D46">
      <w:pPr>
        <w:spacing w:after="240" w:line="276" w:lineRule="auto"/>
        <w:jc w:val="both"/>
      </w:pPr>
    </w:p>
    <w:p w:rsidR="00983150" w:rsidRDefault="00983150" w:rsidP="00C27CB0">
      <w:pPr>
        <w:pStyle w:val="Nadpis2"/>
      </w:pPr>
      <w:bookmarkStart w:id="54" w:name="_Toc350268264"/>
      <w:bookmarkStart w:id="55" w:name="_Toc354393064"/>
      <w:r>
        <w:t>Call opce</w:t>
      </w:r>
      <w:bookmarkEnd w:id="54"/>
      <w:bookmarkEnd w:id="55"/>
    </w:p>
    <w:p w:rsidR="00983150" w:rsidRPr="002A1426" w:rsidRDefault="00983150" w:rsidP="00983150">
      <w:pPr>
        <w:spacing w:after="240" w:line="276" w:lineRule="auto"/>
        <w:jc w:val="both"/>
      </w:pPr>
      <w:r w:rsidRPr="002A1426">
        <w:t>Call opc</w:t>
      </w:r>
      <w:r w:rsidR="009C15BD">
        <w:t>e</w:t>
      </w:r>
      <w:r>
        <w:t xml:space="preserve"> </w:t>
      </w:r>
      <w:r w:rsidR="009C15BD">
        <w:t>je jiný název pro</w:t>
      </w:r>
      <w:r>
        <w:t xml:space="preserve"> </w:t>
      </w:r>
      <w:r w:rsidRPr="002A1426">
        <w:t>kupní opci. Kupujícímu call opce</w:t>
      </w:r>
      <w:r>
        <w:t xml:space="preserve"> </w:t>
      </w:r>
      <w:r w:rsidRPr="002A1426">
        <w:t xml:space="preserve">vzniká právo při splatnosti </w:t>
      </w:r>
      <w:r w:rsidR="00320170">
        <w:t xml:space="preserve">opce </w:t>
      </w:r>
      <w:r w:rsidRPr="002A1426">
        <w:t>koupit dané podkladové aktivum. Naopak prodávající call opce</w:t>
      </w:r>
      <w:r>
        <w:t xml:space="preserve"> </w:t>
      </w:r>
      <w:r w:rsidRPr="002A1426">
        <w:t>má v případě uplatnění opce kupujícím povinnost prodat kupujícímu opce dané podkladové aktivum za</w:t>
      </w:r>
      <w:r w:rsidR="00320170">
        <w:t> </w:t>
      </w:r>
      <w:r w:rsidRPr="002A1426">
        <w:t>předem stanovenou cenu.</w:t>
      </w:r>
    </w:p>
    <w:p w:rsidR="00983150" w:rsidRPr="002A1426" w:rsidRDefault="00983150" w:rsidP="00983150">
      <w:pPr>
        <w:spacing w:after="240" w:line="276" w:lineRule="auto"/>
        <w:jc w:val="both"/>
      </w:pPr>
      <w:r w:rsidRPr="002A1426">
        <w:t>Investor v long pozici musí za zmiňované právo zaplatit opční prémii. Velikost opční prémie pak představuje jeho maximální</w:t>
      </w:r>
      <w:r w:rsidR="009C15BD">
        <w:t xml:space="preserve"> možnou</w:t>
      </w:r>
      <w:r w:rsidRPr="002A1426">
        <w:t xml:space="preserve"> z</w:t>
      </w:r>
      <w:r w:rsidR="009C15BD">
        <w:t>trátu, jak je vidět na Obr. 7</w:t>
      </w:r>
      <w:r w:rsidRPr="002A1426">
        <w:t xml:space="preserve">. Jeho ziskový potenciál je </w:t>
      </w:r>
      <w:r>
        <w:t xml:space="preserve">pak </w:t>
      </w:r>
      <w:r w:rsidRPr="002A1426">
        <w:t>v případě růstu hodnoty podkladového aktiva neomezený.</w:t>
      </w:r>
    </w:p>
    <w:p w:rsidR="00983150" w:rsidRPr="002A1426" w:rsidRDefault="00983150" w:rsidP="00983150">
      <w:pPr>
        <w:spacing w:after="240" w:line="276" w:lineRule="auto"/>
        <w:jc w:val="both"/>
      </w:pPr>
      <w:r w:rsidRPr="002A1426">
        <w:t>Subjekt v short pozici naopak přijímá od subjektu v long pozici opční prémii. Ta je však</w:t>
      </w:r>
      <w:r w:rsidR="00320170">
        <w:t xml:space="preserve"> zároveň</w:t>
      </w:r>
      <w:r w:rsidRPr="002A1426">
        <w:t xml:space="preserve"> jeho maximálním ziskem. S rostoucí hodnotou podkladového aktiva realizuje prodávající call opce neomezenou ztrátu.</w:t>
      </w:r>
    </w:p>
    <w:p w:rsidR="00983150" w:rsidRDefault="00983150" w:rsidP="00983150">
      <w:pPr>
        <w:spacing w:after="240" w:line="276" w:lineRule="auto"/>
        <w:jc w:val="both"/>
      </w:pPr>
      <w:r>
        <w:t>Na Obr.</w:t>
      </w:r>
      <w:r w:rsidRPr="002A1426">
        <w:t xml:space="preserve"> </w:t>
      </w:r>
      <w:r w:rsidR="009C15BD">
        <w:t>7</w:t>
      </w:r>
      <w:r w:rsidRPr="002A1426">
        <w:t xml:space="preserve"> jsou znázorněny pozice subjektů v long a short pozici</w:t>
      </w:r>
      <w:r w:rsidR="00320170">
        <w:t xml:space="preserve"> call opce</w:t>
      </w:r>
      <w:r w:rsidRPr="002A1426">
        <w:t xml:space="preserve">. Je vidno, že opční prémie </w:t>
      </w:r>
      <w:r w:rsidR="00320170">
        <w:t>„</w:t>
      </w:r>
      <w:r w:rsidRPr="002A1426">
        <w:t>C</w:t>
      </w:r>
      <w:r w:rsidR="00320170">
        <w:t>“</w:t>
      </w:r>
      <w:r w:rsidRPr="002A1426">
        <w:t xml:space="preserve"> znamená maximá</w:t>
      </w:r>
      <w:r>
        <w:t>lní ztrátu pro long pozici a</w:t>
      </w:r>
      <w:r w:rsidRPr="002A1426">
        <w:t xml:space="preserve"> maximální zisk pro subjekt v short </w:t>
      </w:r>
      <w:r>
        <w:t>pozici. Subjekt v</w:t>
      </w:r>
      <w:r w:rsidR="009C15BD">
        <w:t> long pozici začne být ziskový od bodu</w:t>
      </w:r>
      <w:r>
        <w:t xml:space="preserve">, kdy se hodnota podkladového aktiva rovná součtu realizační ceny </w:t>
      </w:r>
      <w:r w:rsidR="00320170">
        <w:t xml:space="preserve">„RC“ </w:t>
      </w:r>
      <w:r w:rsidR="009C15BD">
        <w:t>a opční prémie. OD stejného bodu</w:t>
      </w:r>
      <w:r>
        <w:t xml:space="preserve"> se stává short pozice ztrátov</w:t>
      </w:r>
      <w:r w:rsidR="009C15BD">
        <w:t>ou</w:t>
      </w:r>
      <w:r>
        <w:t>.</w:t>
      </w:r>
    </w:p>
    <w:p w:rsidR="00320170" w:rsidRDefault="00320170" w:rsidP="00983150">
      <w:pPr>
        <w:spacing w:after="240" w:line="276" w:lineRule="auto"/>
        <w:jc w:val="both"/>
      </w:pPr>
    </w:p>
    <w:p w:rsidR="00320170" w:rsidRPr="00320170" w:rsidRDefault="00320170" w:rsidP="00320170">
      <w:pPr>
        <w:pStyle w:val="Titulek"/>
        <w:keepNext/>
        <w:spacing w:line="276" w:lineRule="auto"/>
        <w:rPr>
          <w:rFonts w:ascii="Times New Roman" w:hAnsi="Times New Roman" w:cs="Times New Roman"/>
          <w:b w:val="0"/>
          <w:color w:val="auto"/>
          <w:sz w:val="24"/>
        </w:rPr>
      </w:pPr>
      <w:bookmarkStart w:id="56" w:name="_Toc354393013"/>
      <w:r w:rsidRPr="00320170">
        <w:rPr>
          <w:rFonts w:ascii="Times New Roman" w:hAnsi="Times New Roman" w:cs="Times New Roman"/>
          <w:b w:val="0"/>
          <w:color w:val="auto"/>
          <w:sz w:val="24"/>
        </w:rPr>
        <w:lastRenderedPageBreak/>
        <w:t xml:space="preserve">Obr. </w:t>
      </w:r>
      <w:r w:rsidR="00FA567C" w:rsidRPr="00320170">
        <w:rPr>
          <w:rFonts w:ascii="Times New Roman" w:hAnsi="Times New Roman" w:cs="Times New Roman"/>
          <w:b w:val="0"/>
          <w:color w:val="auto"/>
          <w:sz w:val="24"/>
        </w:rPr>
        <w:fldChar w:fldCharType="begin"/>
      </w:r>
      <w:r w:rsidRPr="00320170">
        <w:rPr>
          <w:rFonts w:ascii="Times New Roman" w:hAnsi="Times New Roman" w:cs="Times New Roman"/>
          <w:b w:val="0"/>
          <w:color w:val="auto"/>
          <w:sz w:val="24"/>
        </w:rPr>
        <w:instrText xml:space="preserve"> SEQ Obr. \* ARABIC </w:instrText>
      </w:r>
      <w:r w:rsidR="00FA567C" w:rsidRPr="00320170">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7</w:t>
      </w:r>
      <w:r w:rsidR="00FA567C" w:rsidRPr="00320170">
        <w:rPr>
          <w:rFonts w:ascii="Times New Roman" w:hAnsi="Times New Roman" w:cs="Times New Roman"/>
          <w:b w:val="0"/>
          <w:color w:val="auto"/>
          <w:sz w:val="24"/>
        </w:rPr>
        <w:fldChar w:fldCharType="end"/>
      </w:r>
      <w:r w:rsidRPr="00320170">
        <w:rPr>
          <w:rFonts w:ascii="Times New Roman" w:hAnsi="Times New Roman" w:cs="Times New Roman"/>
          <w:b w:val="0"/>
          <w:color w:val="auto"/>
          <w:sz w:val="24"/>
        </w:rPr>
        <w:t xml:space="preserve">: </w:t>
      </w:r>
      <w:r w:rsidR="004900C5">
        <w:rPr>
          <w:rFonts w:ascii="Times New Roman" w:hAnsi="Times New Roman" w:cs="Times New Roman"/>
          <w:b w:val="0"/>
          <w:color w:val="auto"/>
          <w:sz w:val="24"/>
        </w:rPr>
        <w:t>Graf zisků a ztrát v call opci</w:t>
      </w:r>
      <w:bookmarkEnd w:id="56"/>
    </w:p>
    <w:p w:rsidR="00983150" w:rsidRDefault="00983150" w:rsidP="00983150">
      <w:pPr>
        <w:keepNext/>
        <w:tabs>
          <w:tab w:val="left" w:pos="567"/>
          <w:tab w:val="left" w:pos="851"/>
          <w:tab w:val="left" w:pos="8222"/>
          <w:tab w:val="left" w:pos="8505"/>
        </w:tabs>
        <w:spacing w:after="240" w:line="276" w:lineRule="auto"/>
        <w:jc w:val="center"/>
      </w:pPr>
      <w:r>
        <w:rPr>
          <w:noProof/>
          <w:lang w:eastAsia="cs-CZ"/>
        </w:rPr>
        <w:drawing>
          <wp:inline distT="0" distB="0" distL="0" distR="0">
            <wp:extent cx="4657725" cy="2652745"/>
            <wp:effectExtent l="19050" t="0" r="9525" b="0"/>
            <wp:docPr id="16"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4665880" cy="2657389"/>
                    </a:xfrm>
                    <a:prstGeom prst="rect">
                      <a:avLst/>
                    </a:prstGeom>
                    <a:noFill/>
                    <a:ln w="9525">
                      <a:noFill/>
                      <a:miter lim="800000"/>
                      <a:headEnd/>
                      <a:tailEnd/>
                    </a:ln>
                  </pic:spPr>
                </pic:pic>
              </a:graphicData>
            </a:graphic>
          </wp:inline>
        </w:drawing>
      </w:r>
    </w:p>
    <w:p w:rsidR="00983150" w:rsidRPr="00320170" w:rsidRDefault="00320170" w:rsidP="004900C5">
      <w:pPr>
        <w:keepNext/>
        <w:spacing w:after="240" w:line="276" w:lineRule="auto"/>
        <w:jc w:val="both"/>
        <w:rPr>
          <w:i/>
          <w:sz w:val="20"/>
        </w:rPr>
      </w:pPr>
      <w:r w:rsidRPr="00320170">
        <w:rPr>
          <w:i/>
          <w:sz w:val="20"/>
        </w:rPr>
        <w:t>Pramen: Vlastní zpracování</w:t>
      </w:r>
    </w:p>
    <w:p w:rsidR="006A44EE" w:rsidRDefault="006A44EE">
      <w:pPr>
        <w:suppressAutoHyphens w:val="0"/>
        <w:spacing w:after="200" w:line="276" w:lineRule="auto"/>
        <w:rPr>
          <w:rFonts w:eastAsiaTheme="majorEastAsia" w:cstheme="majorBidi"/>
          <w:b/>
          <w:bCs/>
          <w:sz w:val="28"/>
          <w:szCs w:val="26"/>
        </w:rPr>
      </w:pPr>
      <w:bookmarkStart w:id="57" w:name="_Toc350268265"/>
    </w:p>
    <w:p w:rsidR="00983150" w:rsidRDefault="00983150" w:rsidP="00C27CB0">
      <w:pPr>
        <w:pStyle w:val="Nadpis2"/>
      </w:pPr>
      <w:bookmarkStart w:id="58" w:name="_Toc354393065"/>
      <w:r>
        <w:t>Put opce</w:t>
      </w:r>
      <w:bookmarkEnd w:id="57"/>
      <w:bookmarkEnd w:id="58"/>
    </w:p>
    <w:p w:rsidR="00983150" w:rsidRDefault="00983150" w:rsidP="00983150">
      <w:pPr>
        <w:spacing w:after="240" w:line="276" w:lineRule="auto"/>
        <w:jc w:val="both"/>
      </w:pPr>
      <w:r>
        <w:t>Ku</w:t>
      </w:r>
      <w:r w:rsidR="004900C5">
        <w:t>pující put</w:t>
      </w:r>
      <w:r>
        <w:t xml:space="preserve"> neboli prodejní opce získává právo v době splatnosti prodat podkladové</w:t>
      </w:r>
      <w:r w:rsidR="009C15BD">
        <w:t xml:space="preserve"> aktivum</w:t>
      </w:r>
      <w:r>
        <w:t xml:space="preserve"> za</w:t>
      </w:r>
      <w:r w:rsidR="004900C5">
        <w:t> </w:t>
      </w:r>
      <w:r>
        <w:t>předem stanovenou realizační cenu. Prodávajícímu put opce následně vzniká povinnost dané podkladové aktivum odkoupit. Kupující se opět nachází v long pozici, prodávající v short pozici. I v případě put opce platí kupuj</w:t>
      </w:r>
      <w:r w:rsidR="004900C5">
        <w:t>ící prodávajícímu opční prémii.</w:t>
      </w:r>
    </w:p>
    <w:p w:rsidR="00983150" w:rsidRDefault="00983150" w:rsidP="00983150">
      <w:pPr>
        <w:spacing w:after="240" w:line="276" w:lineRule="auto"/>
        <w:jc w:val="both"/>
      </w:pPr>
      <w:r>
        <w:t xml:space="preserve">Na Obr. </w:t>
      </w:r>
      <w:r w:rsidR="006A44EE">
        <w:t>8</w:t>
      </w:r>
      <w:r>
        <w:t xml:space="preserve"> jsou znázorněny long a short pozice</w:t>
      </w:r>
      <w:r w:rsidR="005E5EDC">
        <w:t xml:space="preserve"> v put opci</w:t>
      </w:r>
      <w:r>
        <w:t xml:space="preserve">. Subjekt v long pozici má tentokrát omezen jak zisk, tak ztrátu. Zisku může dosáhnout </w:t>
      </w:r>
      <w:r w:rsidRPr="00F747AF">
        <w:t xml:space="preserve">maximálně ve výši rozdílu realizační ceny </w:t>
      </w:r>
      <w:r w:rsidR="005E5EDC">
        <w:t>„</w:t>
      </w:r>
      <w:r w:rsidRPr="00F747AF">
        <w:t>RC</w:t>
      </w:r>
      <w:r w:rsidR="005E5EDC">
        <w:t>“</w:t>
      </w:r>
      <w:r w:rsidRPr="00F747AF">
        <w:t xml:space="preserve"> a opční prémie </w:t>
      </w:r>
      <w:r w:rsidR="005E5EDC">
        <w:t>„</w:t>
      </w:r>
      <w:r w:rsidRPr="00F747AF">
        <w:t>C</w:t>
      </w:r>
      <w:r w:rsidR="005E5EDC">
        <w:t>“</w:t>
      </w:r>
      <w:r>
        <w:t>, ztráta je omezena na zaplacenou opční</w:t>
      </w:r>
      <w:r w:rsidR="009C15BD">
        <w:t xml:space="preserve"> prémii. Pro kupujícího put opce</w:t>
      </w:r>
      <w:r>
        <w:t xml:space="preserve"> je tento kontrakt tím výhodnější, čím bude cena podkladového aktiva nižší. Short pozice je opět zrcadlová vůči long pozi</w:t>
      </w:r>
      <w:r w:rsidR="005E5EDC">
        <w:t xml:space="preserve">ci. </w:t>
      </w:r>
      <w:r w:rsidR="009C15BD">
        <w:t>Prodávající</w:t>
      </w:r>
      <w:r w:rsidR="005E5EDC">
        <w:t xml:space="preserve"> má tedy také omezen</w:t>
      </w:r>
      <w:r>
        <w:t xml:space="preserve"> jak z</w:t>
      </w:r>
      <w:r w:rsidR="005E5EDC">
        <w:t>isk, tak ztrátu</w:t>
      </w:r>
      <w:r>
        <w:t xml:space="preserve">. </w:t>
      </w:r>
      <w:r w:rsidRPr="00F747AF">
        <w:t>Maximální ztráta je rovna rozdílu realizační ceny a opční prémie.</w:t>
      </w:r>
      <w:r>
        <w:t xml:space="preserve"> Maximální zisk je</w:t>
      </w:r>
      <w:r w:rsidR="005E5EDC">
        <w:t xml:space="preserve"> </w:t>
      </w:r>
      <w:r>
        <w:t>roven inkasované opční prémii.</w:t>
      </w:r>
    </w:p>
    <w:p w:rsidR="00983150" w:rsidRDefault="00983150" w:rsidP="00983150">
      <w:pPr>
        <w:spacing w:after="240" w:line="276" w:lineRule="auto"/>
        <w:jc w:val="both"/>
      </w:pPr>
      <w:r>
        <w:t xml:space="preserve">Je opět názorně ukázáno, jaký je přechod u jednotlivých pozic mezi ziskem a ztrátou. Long pozice je zisková do doby, než cena podkladového aktiva dosáhne velikosti rozdílu realizační ceny a opční prémie. Dokud nedosáhne úrovně realizační ceny, realizuje subjekt v long pozici omezenou ztrátu. Po dosáhnutí této hodnoty se už ztráta investora nezvyšuje a je omezena opční prémií. Naopak subjekt v short pozici až do úrovně rozdílu realizační ceny a opční prémie realizuje ztrátu. Od tohoto bodu až do úrovně realizační ceny se zvyšuje zisk short pozice a od úrovně realizační ceny dosahuje </w:t>
      </w:r>
      <w:r w:rsidR="009C15BD">
        <w:t xml:space="preserve">prodávající </w:t>
      </w:r>
      <w:r>
        <w:t xml:space="preserve">maximální výše </w:t>
      </w:r>
      <w:r w:rsidR="009C15BD">
        <w:t xml:space="preserve">svého zisku </w:t>
      </w:r>
      <w:r>
        <w:t>v hodnotě opční prémie.</w:t>
      </w:r>
    </w:p>
    <w:p w:rsidR="006A44EE" w:rsidRDefault="006A44EE" w:rsidP="00983150">
      <w:pPr>
        <w:spacing w:after="240" w:line="276" w:lineRule="auto"/>
        <w:jc w:val="both"/>
      </w:pPr>
    </w:p>
    <w:p w:rsidR="004900C5" w:rsidRPr="004900C5" w:rsidRDefault="004900C5" w:rsidP="004900C5">
      <w:pPr>
        <w:pStyle w:val="Titulek"/>
        <w:keepNext/>
        <w:spacing w:line="276" w:lineRule="auto"/>
        <w:rPr>
          <w:rFonts w:ascii="Times New Roman" w:hAnsi="Times New Roman" w:cs="Times New Roman"/>
          <w:b w:val="0"/>
          <w:color w:val="auto"/>
          <w:sz w:val="24"/>
        </w:rPr>
      </w:pPr>
      <w:bookmarkStart w:id="59" w:name="_Toc354393014"/>
      <w:r w:rsidRPr="004900C5">
        <w:rPr>
          <w:rFonts w:ascii="Times New Roman" w:hAnsi="Times New Roman" w:cs="Times New Roman"/>
          <w:b w:val="0"/>
          <w:color w:val="auto"/>
          <w:sz w:val="24"/>
        </w:rPr>
        <w:lastRenderedPageBreak/>
        <w:t xml:space="preserve">Obr. </w:t>
      </w:r>
      <w:r w:rsidR="00FA567C" w:rsidRPr="004900C5">
        <w:rPr>
          <w:rFonts w:ascii="Times New Roman" w:hAnsi="Times New Roman" w:cs="Times New Roman"/>
          <w:b w:val="0"/>
          <w:color w:val="auto"/>
          <w:sz w:val="24"/>
        </w:rPr>
        <w:fldChar w:fldCharType="begin"/>
      </w:r>
      <w:r w:rsidRPr="004900C5">
        <w:rPr>
          <w:rFonts w:ascii="Times New Roman" w:hAnsi="Times New Roman" w:cs="Times New Roman"/>
          <w:b w:val="0"/>
          <w:color w:val="auto"/>
          <w:sz w:val="24"/>
        </w:rPr>
        <w:instrText xml:space="preserve"> SEQ Obr. \* ARABIC </w:instrText>
      </w:r>
      <w:r w:rsidR="00FA567C" w:rsidRPr="004900C5">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8</w:t>
      </w:r>
      <w:r w:rsidR="00FA567C" w:rsidRPr="004900C5">
        <w:rPr>
          <w:rFonts w:ascii="Times New Roman" w:hAnsi="Times New Roman" w:cs="Times New Roman"/>
          <w:b w:val="0"/>
          <w:color w:val="auto"/>
          <w:sz w:val="24"/>
        </w:rPr>
        <w:fldChar w:fldCharType="end"/>
      </w:r>
      <w:r w:rsidRPr="004900C5">
        <w:rPr>
          <w:rFonts w:ascii="Times New Roman" w:hAnsi="Times New Roman" w:cs="Times New Roman"/>
          <w:b w:val="0"/>
          <w:color w:val="auto"/>
          <w:sz w:val="24"/>
        </w:rPr>
        <w:t>: Graf zisků a ztrát v put opci</w:t>
      </w:r>
      <w:bookmarkEnd w:id="59"/>
    </w:p>
    <w:p w:rsidR="00983150" w:rsidRDefault="00983150" w:rsidP="00983150">
      <w:pPr>
        <w:keepNext/>
        <w:tabs>
          <w:tab w:val="left" w:pos="567"/>
          <w:tab w:val="left" w:pos="8505"/>
        </w:tabs>
        <w:spacing w:after="240" w:line="276" w:lineRule="auto"/>
        <w:jc w:val="center"/>
      </w:pPr>
      <w:r>
        <w:rPr>
          <w:noProof/>
          <w:lang w:eastAsia="cs-CZ"/>
        </w:rPr>
        <w:drawing>
          <wp:inline distT="0" distB="0" distL="0" distR="0">
            <wp:extent cx="5048250" cy="2862066"/>
            <wp:effectExtent l="19050" t="0" r="0" b="0"/>
            <wp:docPr id="17"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5059926" cy="2868685"/>
                    </a:xfrm>
                    <a:prstGeom prst="rect">
                      <a:avLst/>
                    </a:prstGeom>
                    <a:noFill/>
                    <a:ln w="9525">
                      <a:noFill/>
                      <a:miter lim="800000"/>
                      <a:headEnd/>
                      <a:tailEnd/>
                    </a:ln>
                  </pic:spPr>
                </pic:pic>
              </a:graphicData>
            </a:graphic>
          </wp:inline>
        </w:drawing>
      </w:r>
    </w:p>
    <w:p w:rsidR="004900C5" w:rsidRPr="004900C5" w:rsidRDefault="004900C5" w:rsidP="004900C5">
      <w:pPr>
        <w:keepNext/>
        <w:tabs>
          <w:tab w:val="left" w:pos="567"/>
          <w:tab w:val="left" w:pos="8505"/>
        </w:tabs>
        <w:spacing w:after="240" w:line="276" w:lineRule="auto"/>
        <w:jc w:val="both"/>
        <w:rPr>
          <w:i/>
          <w:sz w:val="20"/>
        </w:rPr>
      </w:pPr>
      <w:r>
        <w:rPr>
          <w:i/>
          <w:sz w:val="20"/>
        </w:rPr>
        <w:t>Pramen: Vlastní zpracování</w:t>
      </w:r>
    </w:p>
    <w:p w:rsidR="00983150" w:rsidRDefault="00983150" w:rsidP="00983150">
      <w:pPr>
        <w:spacing w:after="240" w:line="276" w:lineRule="auto"/>
        <w:rPr>
          <w:rFonts w:eastAsiaTheme="majorEastAsia" w:cstheme="majorBidi"/>
          <w:b/>
          <w:bCs/>
          <w:sz w:val="26"/>
          <w:szCs w:val="26"/>
        </w:rPr>
      </w:pPr>
    </w:p>
    <w:p w:rsidR="00983150" w:rsidRDefault="00983150" w:rsidP="00C27CB0">
      <w:pPr>
        <w:pStyle w:val="Nadpis2"/>
      </w:pPr>
      <w:bookmarkStart w:id="60" w:name="_Toc350268266"/>
      <w:bookmarkStart w:id="61" w:name="_Toc354393066"/>
      <w:r>
        <w:t>Cena opce</w:t>
      </w:r>
      <w:bookmarkEnd w:id="60"/>
      <w:bookmarkEnd w:id="61"/>
    </w:p>
    <w:p w:rsidR="00983150" w:rsidRDefault="00983150" w:rsidP="00983150">
      <w:pPr>
        <w:spacing w:after="240" w:line="276" w:lineRule="auto"/>
        <w:jc w:val="both"/>
      </w:pPr>
      <w:r>
        <w:t xml:space="preserve">Cenou opce </w:t>
      </w:r>
      <w:r w:rsidR="009C15BD">
        <w:t>lze prakticky chápat</w:t>
      </w:r>
      <w:r>
        <w:t xml:space="preserve"> zaplacenou opční prémii. Opce se tímto liší od ostatních termínových kontraktů, u kterých kupující při sjednání nebyl povinen zaplatit žádný obnos. Opční prémii </w:t>
      </w:r>
      <w:r w:rsidR="005F440F">
        <w:t xml:space="preserve">je </w:t>
      </w:r>
      <w:r w:rsidR="009C15BD">
        <w:t xml:space="preserve">možno </w:t>
      </w:r>
      <w:r>
        <w:t>chápat jako náklad na zakoupení opčního práva.</w:t>
      </w:r>
    </w:p>
    <w:p w:rsidR="00983150" w:rsidRPr="000D7486" w:rsidRDefault="00983150" w:rsidP="00983150">
      <w:pPr>
        <w:spacing w:after="240" w:line="276" w:lineRule="auto"/>
        <w:jc w:val="both"/>
      </w:pPr>
      <w:r>
        <w:t>Cena opce se skládá ze dv</w:t>
      </w:r>
      <w:r w:rsidR="005F440F">
        <w:t>ou částí – z vnitřní hodnoty a</w:t>
      </w:r>
      <w:r>
        <w:t xml:space="preserve"> časové hodnoty. </w:t>
      </w:r>
    </w:p>
    <w:p w:rsidR="00983150" w:rsidRPr="005A0139" w:rsidRDefault="00983150" w:rsidP="005A0139">
      <w:pPr>
        <w:pStyle w:val="Odstavecseseznamem"/>
        <w:spacing w:after="240"/>
        <w:ind w:left="0"/>
        <w:rPr>
          <w:rFonts w:ascii="Times New Roman" w:hAnsi="Times New Roman" w:cs="Times New Roman"/>
          <w:color w:val="365F91" w:themeColor="accent1" w:themeShade="BF"/>
          <w:sz w:val="24"/>
        </w:rPr>
      </w:pPr>
    </w:p>
    <w:p w:rsidR="00983150" w:rsidRDefault="00983150" w:rsidP="00983150">
      <w:pPr>
        <w:pStyle w:val="Nadpis3"/>
        <w:suppressAutoHyphens w:val="0"/>
      </w:pPr>
      <w:bookmarkStart w:id="62" w:name="_Toc350268267"/>
      <w:bookmarkStart w:id="63" w:name="_Toc354393067"/>
      <w:r>
        <w:t>Vnitřní hodnota opce</w:t>
      </w:r>
      <w:bookmarkEnd w:id="62"/>
      <w:bookmarkEnd w:id="63"/>
    </w:p>
    <w:p w:rsidR="00983150" w:rsidRDefault="00983150" w:rsidP="00983150">
      <w:pPr>
        <w:spacing w:after="240" w:line="276" w:lineRule="auto"/>
        <w:jc w:val="both"/>
      </w:pPr>
      <w:r>
        <w:t>Vnitřní hodnota opce ukazuje výhodnost okamžité</w:t>
      </w:r>
      <w:r w:rsidR="005A0139">
        <w:t>ho uplatnění opce. Pokud je</w:t>
      </w:r>
      <w:r>
        <w:t xml:space="preserve"> vhodné a</w:t>
      </w:r>
      <w:r w:rsidR="005A0139">
        <w:t> </w:t>
      </w:r>
      <w:r>
        <w:t xml:space="preserve">ziskové opci uplatnit, pak </w:t>
      </w:r>
      <w:r w:rsidR="009C15BD">
        <w:t>je vnitřní hodnota opce kladná</w:t>
      </w:r>
      <w:r>
        <w:t>. Pokud tomu tak není, je</w:t>
      </w:r>
      <w:r w:rsidR="009C15BD">
        <w:t xml:space="preserve"> hodnota</w:t>
      </w:r>
      <w:r>
        <w:t xml:space="preserve"> nulová</w:t>
      </w:r>
      <w:r w:rsidR="009C15BD">
        <w:t>. Vnitřní hodnota opce však nikdy</w:t>
      </w:r>
      <w:r>
        <w:t xml:space="preserve"> nedosahuje záporných hodnot.</w:t>
      </w:r>
    </w:p>
    <w:p w:rsidR="00983150" w:rsidRDefault="00983150" w:rsidP="00983150">
      <w:pPr>
        <w:spacing w:after="240" w:line="276" w:lineRule="auto"/>
        <w:jc w:val="both"/>
      </w:pPr>
      <w:r>
        <w:t>Velikost vnitřní hodnoty opce je dána rozdílem mezi aktuální spotovou cenou</w:t>
      </w:r>
      <w:r w:rsidR="005F440F">
        <w:t xml:space="preserve"> </w:t>
      </w:r>
      <w:r w:rsidR="005F440F" w:rsidRPr="005F440F">
        <w:rPr>
          <w:i/>
        </w:rPr>
        <w:t>„S“</w:t>
      </w:r>
      <w:r>
        <w:t xml:space="preserve"> daného podkladového aktiva a realizační cenou opce</w:t>
      </w:r>
      <w:r w:rsidR="005F440F">
        <w:t xml:space="preserve"> </w:t>
      </w:r>
      <w:r w:rsidR="005F440F" w:rsidRPr="005F440F">
        <w:rPr>
          <w:i/>
        </w:rPr>
        <w:t>„X“</w:t>
      </w:r>
      <w:r>
        <w:t xml:space="preserve">. Podle rozdílu těchto hodnot rozlišujeme z pohledu majitele opce tři možné pozice opce: v penězích neboli </w:t>
      </w:r>
      <w:r w:rsidRPr="00E3304D">
        <w:rPr>
          <w:i/>
        </w:rPr>
        <w:t>„in the money“</w:t>
      </w:r>
      <w:r>
        <w:t xml:space="preserve">, na penězích neboli </w:t>
      </w:r>
      <w:r w:rsidRPr="00E3304D">
        <w:rPr>
          <w:i/>
        </w:rPr>
        <w:t>„at the money“</w:t>
      </w:r>
      <w:r>
        <w:t xml:space="preserve"> a mimo peníze neboli </w:t>
      </w:r>
      <w:r w:rsidRPr="00E3304D">
        <w:rPr>
          <w:i/>
        </w:rPr>
        <w:t>„out of the money“</w:t>
      </w:r>
      <w:r>
        <w:t>. Jednotlivé pozice nastiňuje Tab</w:t>
      </w:r>
      <w:r w:rsidR="005A0139">
        <w:t>ulka</w:t>
      </w:r>
      <w:r>
        <w:t xml:space="preserve"> 1.</w:t>
      </w:r>
    </w:p>
    <w:p w:rsidR="005A0139" w:rsidRDefault="005A0139" w:rsidP="00983150">
      <w:pPr>
        <w:spacing w:after="240" w:line="276" w:lineRule="auto"/>
        <w:jc w:val="both"/>
      </w:pPr>
    </w:p>
    <w:p w:rsidR="005A0139" w:rsidRPr="005A0139" w:rsidRDefault="005A0139" w:rsidP="005A0139">
      <w:pPr>
        <w:pStyle w:val="Titulek"/>
        <w:keepNext/>
        <w:spacing w:line="276" w:lineRule="auto"/>
        <w:rPr>
          <w:rFonts w:ascii="Times New Roman" w:hAnsi="Times New Roman" w:cs="Times New Roman"/>
          <w:b w:val="0"/>
          <w:color w:val="auto"/>
          <w:sz w:val="24"/>
        </w:rPr>
      </w:pPr>
      <w:bookmarkStart w:id="64" w:name="_Toc354393024"/>
      <w:r w:rsidRPr="005A0139">
        <w:rPr>
          <w:rFonts w:ascii="Times New Roman" w:hAnsi="Times New Roman" w:cs="Times New Roman"/>
          <w:b w:val="0"/>
          <w:color w:val="auto"/>
          <w:sz w:val="24"/>
        </w:rPr>
        <w:lastRenderedPageBreak/>
        <w:t xml:space="preserve">Tabulka </w:t>
      </w:r>
      <w:r w:rsidR="00FA567C" w:rsidRPr="005A0139">
        <w:rPr>
          <w:rFonts w:ascii="Times New Roman" w:hAnsi="Times New Roman" w:cs="Times New Roman"/>
          <w:b w:val="0"/>
          <w:color w:val="auto"/>
          <w:sz w:val="24"/>
        </w:rPr>
        <w:fldChar w:fldCharType="begin"/>
      </w:r>
      <w:r w:rsidRPr="005A0139">
        <w:rPr>
          <w:rFonts w:ascii="Times New Roman" w:hAnsi="Times New Roman" w:cs="Times New Roman"/>
          <w:b w:val="0"/>
          <w:color w:val="auto"/>
          <w:sz w:val="24"/>
        </w:rPr>
        <w:instrText xml:space="preserve"> SEQ Tabulka \* ARABIC </w:instrText>
      </w:r>
      <w:r w:rsidR="00FA567C" w:rsidRPr="005A0139">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w:t>
      </w:r>
      <w:r w:rsidR="00FA567C" w:rsidRPr="005A0139">
        <w:rPr>
          <w:rFonts w:ascii="Times New Roman" w:hAnsi="Times New Roman" w:cs="Times New Roman"/>
          <w:b w:val="0"/>
          <w:color w:val="auto"/>
          <w:sz w:val="24"/>
        </w:rPr>
        <w:fldChar w:fldCharType="end"/>
      </w:r>
      <w:r w:rsidRPr="005A0139">
        <w:rPr>
          <w:rFonts w:ascii="Times New Roman" w:hAnsi="Times New Roman" w:cs="Times New Roman"/>
          <w:b w:val="0"/>
          <w:color w:val="auto"/>
          <w:sz w:val="24"/>
        </w:rPr>
        <w:t>: Pozice opce ve vztahu k vnitřní hodnotě</w:t>
      </w:r>
      <w:bookmarkEnd w:id="64"/>
    </w:p>
    <w:tbl>
      <w:tblPr>
        <w:tblStyle w:val="Svtlstnovn1"/>
        <w:tblW w:w="0" w:type="auto"/>
        <w:jc w:val="center"/>
        <w:tblLook w:val="04A0"/>
      </w:tblPr>
      <w:tblGrid>
        <w:gridCol w:w="2303"/>
        <w:gridCol w:w="2303"/>
        <w:gridCol w:w="2303"/>
        <w:gridCol w:w="2303"/>
      </w:tblGrid>
      <w:tr w:rsidR="00983150" w:rsidTr="005A0139">
        <w:trPr>
          <w:cnfStyle w:val="100000000000"/>
          <w:jc w:val="center"/>
        </w:trPr>
        <w:tc>
          <w:tcPr>
            <w:cnfStyle w:val="001000000000"/>
            <w:tcW w:w="2303" w:type="dxa"/>
            <w:vAlign w:val="center"/>
          </w:tcPr>
          <w:p w:rsidR="00983150" w:rsidRPr="005A0139" w:rsidRDefault="00983150" w:rsidP="005A0139">
            <w:pPr>
              <w:spacing w:line="276" w:lineRule="auto"/>
              <w:jc w:val="center"/>
              <w:rPr>
                <w:sz w:val="24"/>
              </w:rPr>
            </w:pPr>
            <w:r w:rsidRPr="005A0139">
              <w:rPr>
                <w:sz w:val="24"/>
              </w:rPr>
              <w:t>Pozice opce</w:t>
            </w:r>
          </w:p>
        </w:tc>
        <w:tc>
          <w:tcPr>
            <w:tcW w:w="2303" w:type="dxa"/>
            <w:vAlign w:val="center"/>
          </w:tcPr>
          <w:p w:rsidR="00983150" w:rsidRPr="005A0139" w:rsidRDefault="00983150" w:rsidP="005A0139">
            <w:pPr>
              <w:spacing w:line="276" w:lineRule="auto"/>
              <w:jc w:val="center"/>
              <w:cnfStyle w:val="100000000000"/>
              <w:rPr>
                <w:sz w:val="24"/>
              </w:rPr>
            </w:pPr>
            <w:r w:rsidRPr="005A0139">
              <w:rPr>
                <w:sz w:val="24"/>
              </w:rPr>
              <w:t>Call opce</w:t>
            </w:r>
          </w:p>
        </w:tc>
        <w:tc>
          <w:tcPr>
            <w:tcW w:w="2303" w:type="dxa"/>
            <w:vAlign w:val="center"/>
          </w:tcPr>
          <w:p w:rsidR="00983150" w:rsidRPr="005A0139" w:rsidRDefault="00983150" w:rsidP="005A0139">
            <w:pPr>
              <w:spacing w:line="276" w:lineRule="auto"/>
              <w:jc w:val="center"/>
              <w:cnfStyle w:val="100000000000"/>
              <w:rPr>
                <w:sz w:val="24"/>
              </w:rPr>
            </w:pPr>
            <w:r w:rsidRPr="005A0139">
              <w:rPr>
                <w:sz w:val="24"/>
              </w:rPr>
              <w:t>Put opce</w:t>
            </w:r>
          </w:p>
        </w:tc>
        <w:tc>
          <w:tcPr>
            <w:tcW w:w="2303" w:type="dxa"/>
            <w:vAlign w:val="center"/>
          </w:tcPr>
          <w:p w:rsidR="00983150" w:rsidRPr="005A0139" w:rsidRDefault="00983150" w:rsidP="005A0139">
            <w:pPr>
              <w:spacing w:line="276" w:lineRule="auto"/>
              <w:jc w:val="center"/>
              <w:cnfStyle w:val="100000000000"/>
              <w:rPr>
                <w:sz w:val="24"/>
              </w:rPr>
            </w:pPr>
            <w:r w:rsidRPr="005A0139">
              <w:rPr>
                <w:sz w:val="24"/>
              </w:rPr>
              <w:t>Vnitřní hodnota</w:t>
            </w:r>
          </w:p>
        </w:tc>
      </w:tr>
      <w:tr w:rsidR="00983150" w:rsidTr="001433CF">
        <w:trPr>
          <w:cnfStyle w:val="000000100000"/>
          <w:jc w:val="center"/>
        </w:trPr>
        <w:tc>
          <w:tcPr>
            <w:cnfStyle w:val="001000000000"/>
            <w:tcW w:w="2303" w:type="dxa"/>
            <w:shd w:val="clear" w:color="auto" w:fill="D9D9D9" w:themeFill="background1" w:themeFillShade="D9"/>
            <w:vAlign w:val="center"/>
          </w:tcPr>
          <w:p w:rsidR="00983150" w:rsidRPr="005A0139" w:rsidRDefault="00983150" w:rsidP="005A0139">
            <w:pPr>
              <w:spacing w:line="276" w:lineRule="auto"/>
              <w:jc w:val="center"/>
              <w:rPr>
                <w:b w:val="0"/>
                <w:sz w:val="24"/>
                <w:szCs w:val="24"/>
              </w:rPr>
            </w:pPr>
            <w:r w:rsidRPr="005A0139">
              <w:rPr>
                <w:b w:val="0"/>
                <w:sz w:val="24"/>
                <w:szCs w:val="24"/>
              </w:rPr>
              <w:t>V penězích –</w:t>
            </w:r>
          </w:p>
          <w:p w:rsidR="00983150" w:rsidRPr="00E3304D" w:rsidRDefault="00983150" w:rsidP="005A0139">
            <w:pPr>
              <w:spacing w:line="276" w:lineRule="auto"/>
              <w:jc w:val="center"/>
              <w:rPr>
                <w:b w:val="0"/>
                <w:i/>
                <w:sz w:val="24"/>
                <w:szCs w:val="24"/>
              </w:rPr>
            </w:pPr>
            <w:r w:rsidRPr="00E3304D">
              <w:rPr>
                <w:b w:val="0"/>
                <w:i/>
                <w:sz w:val="24"/>
                <w:szCs w:val="24"/>
              </w:rPr>
              <w:t>„in the money“</w:t>
            </w:r>
          </w:p>
        </w:tc>
        <w:tc>
          <w:tcPr>
            <w:tcW w:w="2303" w:type="dxa"/>
            <w:shd w:val="clear" w:color="auto" w:fill="D9D9D9" w:themeFill="background1" w:themeFillShade="D9"/>
            <w:vAlign w:val="center"/>
          </w:tcPr>
          <w:p w:rsidR="00983150" w:rsidRPr="005A0139" w:rsidRDefault="00983150" w:rsidP="005A0139">
            <w:pPr>
              <w:spacing w:line="276" w:lineRule="auto"/>
              <w:jc w:val="center"/>
              <w:cnfStyle w:val="000000100000"/>
              <w:rPr>
                <w:sz w:val="24"/>
                <w:szCs w:val="24"/>
              </w:rPr>
            </w:pPr>
            <w:r w:rsidRPr="005A0139">
              <w:rPr>
                <w:sz w:val="24"/>
                <w:szCs w:val="24"/>
              </w:rPr>
              <w:t>S &gt; X</w:t>
            </w:r>
          </w:p>
        </w:tc>
        <w:tc>
          <w:tcPr>
            <w:tcW w:w="2303" w:type="dxa"/>
            <w:shd w:val="clear" w:color="auto" w:fill="D9D9D9" w:themeFill="background1" w:themeFillShade="D9"/>
            <w:vAlign w:val="center"/>
          </w:tcPr>
          <w:p w:rsidR="00983150" w:rsidRPr="005A0139" w:rsidRDefault="00983150" w:rsidP="005A0139">
            <w:pPr>
              <w:spacing w:line="276" w:lineRule="auto"/>
              <w:jc w:val="center"/>
              <w:cnfStyle w:val="000000100000"/>
              <w:rPr>
                <w:sz w:val="24"/>
                <w:szCs w:val="24"/>
              </w:rPr>
            </w:pPr>
            <w:r w:rsidRPr="005A0139">
              <w:rPr>
                <w:sz w:val="24"/>
                <w:szCs w:val="24"/>
              </w:rPr>
              <w:t>S &lt; X</w:t>
            </w:r>
          </w:p>
        </w:tc>
        <w:tc>
          <w:tcPr>
            <w:tcW w:w="2303" w:type="dxa"/>
            <w:shd w:val="clear" w:color="auto" w:fill="D9D9D9" w:themeFill="background1" w:themeFillShade="D9"/>
            <w:vAlign w:val="center"/>
          </w:tcPr>
          <w:p w:rsidR="00983150" w:rsidRPr="005A0139" w:rsidRDefault="00983150" w:rsidP="005A0139">
            <w:pPr>
              <w:spacing w:line="276" w:lineRule="auto"/>
              <w:jc w:val="center"/>
              <w:cnfStyle w:val="000000100000"/>
              <w:rPr>
                <w:sz w:val="24"/>
                <w:szCs w:val="24"/>
              </w:rPr>
            </w:pPr>
            <w:r w:rsidRPr="005A0139">
              <w:rPr>
                <w:sz w:val="24"/>
                <w:szCs w:val="24"/>
              </w:rPr>
              <w:t>VH &gt; 0</w:t>
            </w:r>
          </w:p>
        </w:tc>
      </w:tr>
      <w:tr w:rsidR="005A0139" w:rsidTr="00D6513E">
        <w:trPr>
          <w:jc w:val="center"/>
        </w:trPr>
        <w:tc>
          <w:tcPr>
            <w:cnfStyle w:val="001000000000"/>
            <w:tcW w:w="2303" w:type="dxa"/>
            <w:vAlign w:val="center"/>
          </w:tcPr>
          <w:p w:rsidR="005A0139" w:rsidRPr="005A0139" w:rsidRDefault="005A0139" w:rsidP="005A0139">
            <w:pPr>
              <w:spacing w:line="276" w:lineRule="auto"/>
              <w:jc w:val="center"/>
              <w:rPr>
                <w:b w:val="0"/>
                <w:sz w:val="24"/>
                <w:szCs w:val="24"/>
              </w:rPr>
            </w:pPr>
            <w:r w:rsidRPr="005A0139">
              <w:rPr>
                <w:b w:val="0"/>
                <w:sz w:val="24"/>
                <w:szCs w:val="24"/>
              </w:rPr>
              <w:t>Na penězích –</w:t>
            </w:r>
          </w:p>
          <w:p w:rsidR="005A0139" w:rsidRPr="00E3304D" w:rsidRDefault="005A0139" w:rsidP="005A0139">
            <w:pPr>
              <w:spacing w:line="276" w:lineRule="auto"/>
              <w:jc w:val="center"/>
              <w:rPr>
                <w:b w:val="0"/>
                <w:i/>
                <w:sz w:val="24"/>
                <w:szCs w:val="24"/>
              </w:rPr>
            </w:pPr>
            <w:r w:rsidRPr="00E3304D">
              <w:rPr>
                <w:b w:val="0"/>
                <w:i/>
                <w:sz w:val="24"/>
                <w:szCs w:val="24"/>
              </w:rPr>
              <w:t>„at the money“</w:t>
            </w:r>
          </w:p>
        </w:tc>
        <w:tc>
          <w:tcPr>
            <w:tcW w:w="2303" w:type="dxa"/>
            <w:vAlign w:val="center"/>
          </w:tcPr>
          <w:p w:rsidR="005A0139" w:rsidRPr="005A0139" w:rsidRDefault="005A0139" w:rsidP="005A0139">
            <w:pPr>
              <w:spacing w:line="276" w:lineRule="auto"/>
              <w:jc w:val="center"/>
              <w:cnfStyle w:val="000000000000"/>
              <w:rPr>
                <w:sz w:val="24"/>
                <w:szCs w:val="24"/>
              </w:rPr>
            </w:pPr>
            <w:r w:rsidRPr="005A0139">
              <w:rPr>
                <w:sz w:val="24"/>
                <w:szCs w:val="24"/>
              </w:rPr>
              <w:t>S = X</w:t>
            </w:r>
          </w:p>
        </w:tc>
        <w:tc>
          <w:tcPr>
            <w:tcW w:w="2303" w:type="dxa"/>
            <w:vAlign w:val="center"/>
          </w:tcPr>
          <w:p w:rsidR="005A0139" w:rsidRPr="005A0139" w:rsidRDefault="005A0139" w:rsidP="005A0139">
            <w:pPr>
              <w:spacing w:line="276" w:lineRule="auto"/>
              <w:jc w:val="center"/>
              <w:cnfStyle w:val="000000000000"/>
              <w:rPr>
                <w:sz w:val="24"/>
                <w:szCs w:val="24"/>
              </w:rPr>
            </w:pPr>
            <w:r w:rsidRPr="005A0139">
              <w:rPr>
                <w:sz w:val="24"/>
                <w:szCs w:val="24"/>
              </w:rPr>
              <w:t>S = X</w:t>
            </w:r>
          </w:p>
        </w:tc>
        <w:tc>
          <w:tcPr>
            <w:tcW w:w="2303" w:type="dxa"/>
            <w:vAlign w:val="center"/>
          </w:tcPr>
          <w:p w:rsidR="005A0139" w:rsidRPr="005A0139" w:rsidRDefault="005A0139" w:rsidP="005A0139">
            <w:pPr>
              <w:spacing w:line="276" w:lineRule="auto"/>
              <w:jc w:val="center"/>
              <w:cnfStyle w:val="000000000000"/>
              <w:rPr>
                <w:sz w:val="24"/>
                <w:szCs w:val="24"/>
              </w:rPr>
            </w:pPr>
            <w:r w:rsidRPr="005A0139">
              <w:rPr>
                <w:sz w:val="24"/>
                <w:szCs w:val="24"/>
              </w:rPr>
              <w:t>VH = 0</w:t>
            </w:r>
          </w:p>
        </w:tc>
      </w:tr>
      <w:tr w:rsidR="00983150" w:rsidTr="001433CF">
        <w:trPr>
          <w:cnfStyle w:val="000000100000"/>
          <w:jc w:val="center"/>
        </w:trPr>
        <w:tc>
          <w:tcPr>
            <w:cnfStyle w:val="001000000000"/>
            <w:tcW w:w="2303" w:type="dxa"/>
            <w:shd w:val="clear" w:color="auto" w:fill="D9D9D9" w:themeFill="background1" w:themeFillShade="D9"/>
            <w:vAlign w:val="center"/>
          </w:tcPr>
          <w:p w:rsidR="00983150" w:rsidRPr="005A0139" w:rsidRDefault="00983150" w:rsidP="005A0139">
            <w:pPr>
              <w:spacing w:line="276" w:lineRule="auto"/>
              <w:jc w:val="center"/>
              <w:rPr>
                <w:b w:val="0"/>
                <w:sz w:val="24"/>
                <w:szCs w:val="24"/>
              </w:rPr>
            </w:pPr>
            <w:r w:rsidRPr="005A0139">
              <w:rPr>
                <w:b w:val="0"/>
                <w:sz w:val="24"/>
                <w:szCs w:val="24"/>
              </w:rPr>
              <w:t>Mimo peníze –</w:t>
            </w:r>
          </w:p>
          <w:p w:rsidR="00983150" w:rsidRPr="00E3304D" w:rsidRDefault="00983150" w:rsidP="005A0139">
            <w:pPr>
              <w:spacing w:line="276" w:lineRule="auto"/>
              <w:jc w:val="center"/>
              <w:rPr>
                <w:b w:val="0"/>
                <w:i/>
                <w:sz w:val="24"/>
                <w:szCs w:val="24"/>
              </w:rPr>
            </w:pPr>
            <w:r w:rsidRPr="00E3304D">
              <w:rPr>
                <w:b w:val="0"/>
                <w:i/>
                <w:sz w:val="24"/>
                <w:szCs w:val="24"/>
              </w:rPr>
              <w:t>„out of the money“</w:t>
            </w:r>
          </w:p>
        </w:tc>
        <w:tc>
          <w:tcPr>
            <w:tcW w:w="2303" w:type="dxa"/>
            <w:shd w:val="clear" w:color="auto" w:fill="D9D9D9" w:themeFill="background1" w:themeFillShade="D9"/>
            <w:vAlign w:val="center"/>
          </w:tcPr>
          <w:p w:rsidR="00983150" w:rsidRPr="005A0139" w:rsidRDefault="00983150" w:rsidP="005A0139">
            <w:pPr>
              <w:spacing w:line="276" w:lineRule="auto"/>
              <w:jc w:val="center"/>
              <w:cnfStyle w:val="000000100000"/>
              <w:rPr>
                <w:sz w:val="24"/>
                <w:szCs w:val="24"/>
              </w:rPr>
            </w:pPr>
            <w:r w:rsidRPr="005A0139">
              <w:rPr>
                <w:sz w:val="24"/>
                <w:szCs w:val="24"/>
              </w:rPr>
              <w:t>S &lt; X</w:t>
            </w:r>
          </w:p>
        </w:tc>
        <w:tc>
          <w:tcPr>
            <w:tcW w:w="2303" w:type="dxa"/>
            <w:shd w:val="clear" w:color="auto" w:fill="D9D9D9" w:themeFill="background1" w:themeFillShade="D9"/>
            <w:vAlign w:val="center"/>
          </w:tcPr>
          <w:p w:rsidR="00983150" w:rsidRPr="005A0139" w:rsidRDefault="00983150" w:rsidP="005A0139">
            <w:pPr>
              <w:spacing w:line="276" w:lineRule="auto"/>
              <w:jc w:val="center"/>
              <w:cnfStyle w:val="000000100000"/>
              <w:rPr>
                <w:sz w:val="24"/>
                <w:szCs w:val="24"/>
              </w:rPr>
            </w:pPr>
            <w:r w:rsidRPr="005A0139">
              <w:rPr>
                <w:sz w:val="24"/>
                <w:szCs w:val="24"/>
              </w:rPr>
              <w:t>S &gt; X</w:t>
            </w:r>
          </w:p>
        </w:tc>
        <w:tc>
          <w:tcPr>
            <w:tcW w:w="2303" w:type="dxa"/>
            <w:shd w:val="clear" w:color="auto" w:fill="D9D9D9" w:themeFill="background1" w:themeFillShade="D9"/>
            <w:vAlign w:val="center"/>
          </w:tcPr>
          <w:p w:rsidR="00983150" w:rsidRPr="005A0139" w:rsidRDefault="00983150" w:rsidP="005A0139">
            <w:pPr>
              <w:spacing w:line="276" w:lineRule="auto"/>
              <w:jc w:val="center"/>
              <w:cnfStyle w:val="000000100000"/>
              <w:rPr>
                <w:sz w:val="24"/>
                <w:szCs w:val="24"/>
              </w:rPr>
            </w:pPr>
            <w:r w:rsidRPr="005A0139">
              <w:rPr>
                <w:sz w:val="24"/>
                <w:szCs w:val="24"/>
              </w:rPr>
              <w:t>VH &lt; 0,</w:t>
            </w:r>
          </w:p>
          <w:p w:rsidR="00983150" w:rsidRPr="005A0139" w:rsidRDefault="00983150" w:rsidP="005A0139">
            <w:pPr>
              <w:keepNext/>
              <w:spacing w:line="276" w:lineRule="auto"/>
              <w:jc w:val="center"/>
              <w:cnfStyle w:val="000000100000"/>
              <w:rPr>
                <w:sz w:val="24"/>
                <w:szCs w:val="24"/>
              </w:rPr>
            </w:pPr>
            <w:r w:rsidRPr="005A0139">
              <w:rPr>
                <w:sz w:val="24"/>
                <w:szCs w:val="24"/>
              </w:rPr>
              <w:t>Respektive VH = 0</w:t>
            </w:r>
          </w:p>
        </w:tc>
      </w:tr>
    </w:tbl>
    <w:p w:rsidR="00983150" w:rsidRDefault="005A0139" w:rsidP="006A44EE">
      <w:pPr>
        <w:spacing w:after="240" w:line="276" w:lineRule="auto"/>
        <w:rPr>
          <w:sz w:val="20"/>
        </w:rPr>
      </w:pPr>
      <w:r>
        <w:rPr>
          <w:i/>
          <w:sz w:val="20"/>
        </w:rPr>
        <w:t>Pramen: Vlastní zpracování</w:t>
      </w:r>
    </w:p>
    <w:p w:rsidR="005A0139" w:rsidRPr="006A44EE" w:rsidRDefault="005A0139" w:rsidP="005A0139">
      <w:pPr>
        <w:spacing w:after="240" w:line="276" w:lineRule="auto"/>
      </w:pPr>
    </w:p>
    <w:p w:rsidR="00983150" w:rsidRDefault="00983150" w:rsidP="00983150">
      <w:pPr>
        <w:spacing w:before="240" w:after="240" w:line="276" w:lineRule="auto"/>
        <w:jc w:val="both"/>
      </w:pPr>
      <w:r>
        <w:t xml:space="preserve">Pokud se opce nalézá tzv. </w:t>
      </w:r>
      <w:r w:rsidRPr="00E3304D">
        <w:rPr>
          <w:i/>
        </w:rPr>
        <w:t>„in the money“</w:t>
      </w:r>
      <w:r>
        <w:t>, pak je pro</w:t>
      </w:r>
      <w:r w:rsidR="009C15BD">
        <w:t xml:space="preserve"> investora vhodné opci uplatnit a</w:t>
      </w:r>
      <w:r w:rsidR="005F440F">
        <w:t> </w:t>
      </w:r>
      <w:r>
        <w:t xml:space="preserve">realizovat zisk. V případě, že opce leží </w:t>
      </w:r>
      <w:r w:rsidRPr="00E3304D">
        <w:rPr>
          <w:i/>
        </w:rPr>
        <w:t>„at the money“</w:t>
      </w:r>
      <w:r>
        <w:t>, nezáleží, zda investor opci uplatní nebo ji nechá propadnout a dané podkladové aktivum nakoupí, respektive prodá na spotovém trh</w:t>
      </w:r>
      <w:r w:rsidR="009C15BD">
        <w:t>u</w:t>
      </w:r>
      <w:r>
        <w:t>. Výslede</w:t>
      </w:r>
      <w:r w:rsidR="005F440F">
        <w:t>k obou obchodů by byl stejný. V</w:t>
      </w:r>
      <w:r>
        <w:t xml:space="preserve"> případě, že je opce </w:t>
      </w:r>
      <w:r w:rsidRPr="00E3304D">
        <w:rPr>
          <w:i/>
        </w:rPr>
        <w:t>„out of the money“</w:t>
      </w:r>
      <w:r>
        <w:t>, je</w:t>
      </w:r>
      <w:r w:rsidR="005F440F">
        <w:t> </w:t>
      </w:r>
      <w:r>
        <w:t>vnitřní hodnota teoreticky záporná. To ovšem platí pouze matematicky. Prakticky však nelze prodávat finanční instrumenty se zápornou hodnotou, a proto ani vnitřní hodnota</w:t>
      </w:r>
      <w:r w:rsidR="005A0139">
        <w:t xml:space="preserve"> opce</w:t>
      </w:r>
      <w:r>
        <w:t xml:space="preserve"> nemůže být záporná. Je tedy rovna nule. Pokud se opce nachází </w:t>
      </w:r>
      <w:r w:rsidRPr="00E3304D">
        <w:rPr>
          <w:i/>
        </w:rPr>
        <w:t>„out of</w:t>
      </w:r>
      <w:r w:rsidR="00E3304D">
        <w:rPr>
          <w:i/>
        </w:rPr>
        <w:t xml:space="preserve"> the</w:t>
      </w:r>
      <w:r w:rsidRPr="00E3304D">
        <w:rPr>
          <w:i/>
        </w:rPr>
        <w:t xml:space="preserve"> money“</w:t>
      </w:r>
      <w:r>
        <w:t>, je</w:t>
      </w:r>
      <w:r w:rsidR="005F440F">
        <w:t> </w:t>
      </w:r>
      <w:r>
        <w:t>pro</w:t>
      </w:r>
      <w:r w:rsidR="005F440F">
        <w:t> </w:t>
      </w:r>
      <w:r>
        <w:t>investora neefektivní uplatnit opci, realizoval by ztrátu.</w:t>
      </w:r>
    </w:p>
    <w:p w:rsidR="00983150" w:rsidRPr="00BB5344" w:rsidRDefault="00983150" w:rsidP="00983150">
      <w:pPr>
        <w:spacing w:after="240" w:line="276" w:lineRule="auto"/>
        <w:jc w:val="both"/>
      </w:pPr>
      <w:r>
        <w:t>Tyto vztahy pl</w:t>
      </w:r>
      <w:r w:rsidR="009C15BD">
        <w:t>atící pro vnitřní hodnotu jsou</w:t>
      </w:r>
      <w:r>
        <w:t xml:space="preserve"> platné pouze pro americké opce. Evropské opce nelze </w:t>
      </w:r>
      <w:r w:rsidR="009C15BD">
        <w:t xml:space="preserve">uplatnit </w:t>
      </w:r>
      <w:r>
        <w:t xml:space="preserve">kdykoli během doby </w:t>
      </w:r>
      <w:r w:rsidR="009C15BD">
        <w:t xml:space="preserve">jejich </w:t>
      </w:r>
      <w:r>
        <w:t xml:space="preserve">životnosti, </w:t>
      </w:r>
      <w:r w:rsidR="009C15BD">
        <w:t>a mají proto</w:t>
      </w:r>
      <w:r>
        <w:t xml:space="preserve"> </w:t>
      </w:r>
      <w:r w:rsidR="005A2BBA">
        <w:t xml:space="preserve">vnitřní hodnotu </w:t>
      </w:r>
      <w:r>
        <w:t xml:space="preserve">pouze teoretickou. V případě evropských opcí </w:t>
      </w:r>
      <w:r w:rsidR="005A2BBA">
        <w:t>lze chápat</w:t>
      </w:r>
      <w:r>
        <w:t xml:space="preserve"> vnitřní hodnotu pouze jako vztah mezi realizační cenou a termínovou cenou podkladového aktiva ke dni splatnosti opce.</w:t>
      </w:r>
      <w:r>
        <w:rPr>
          <w:rStyle w:val="Znakapoznpodarou"/>
          <w:rFonts w:eastAsiaTheme="majorEastAsia"/>
        </w:rPr>
        <w:footnoteReference w:id="101"/>
      </w:r>
    </w:p>
    <w:p w:rsidR="00983150" w:rsidRPr="003E2772" w:rsidRDefault="00983150" w:rsidP="003E2772">
      <w:pPr>
        <w:pStyle w:val="Odstavecseseznamem"/>
        <w:spacing w:after="240"/>
        <w:ind w:left="0"/>
        <w:jc w:val="both"/>
        <w:rPr>
          <w:rFonts w:ascii="Times New Roman" w:hAnsi="Times New Roman" w:cs="Times New Roman"/>
          <w:sz w:val="24"/>
          <w:szCs w:val="24"/>
        </w:rPr>
      </w:pPr>
    </w:p>
    <w:p w:rsidR="00983150" w:rsidRDefault="00983150" w:rsidP="00983150">
      <w:pPr>
        <w:pStyle w:val="Nadpis3"/>
        <w:suppressAutoHyphens w:val="0"/>
      </w:pPr>
      <w:bookmarkStart w:id="65" w:name="_Toc350268268"/>
      <w:bookmarkStart w:id="66" w:name="_Toc354393068"/>
      <w:r>
        <w:t>Časová hodnota opce</w:t>
      </w:r>
      <w:bookmarkEnd w:id="65"/>
      <w:bookmarkEnd w:id="66"/>
    </w:p>
    <w:p w:rsidR="00983150" w:rsidRDefault="00983150" w:rsidP="00983150">
      <w:pPr>
        <w:spacing w:after="240" w:line="276" w:lineRule="auto"/>
        <w:jc w:val="both"/>
      </w:pPr>
      <w:r>
        <w:t>Časová hodnota opce odráží vliv nabídky a poptávky po dané opci na trhu. Vyjadřuje riziko změny ceny podkladového aktiva do splatnosti, nikoli</w:t>
      </w:r>
      <w:r w:rsidR="003E2772">
        <w:t xml:space="preserve"> změny ceny</w:t>
      </w:r>
      <w:r>
        <w:t xml:space="preserve"> opce. Jinak lze také říci, že</w:t>
      </w:r>
      <w:r w:rsidR="005F440F">
        <w:t> </w:t>
      </w:r>
      <w:r>
        <w:t xml:space="preserve">časová hodnota představuje z pohledu majitele opce pravděpodobnosti přechodu opce z pozice </w:t>
      </w:r>
      <w:r w:rsidRPr="00E3304D">
        <w:rPr>
          <w:i/>
        </w:rPr>
        <w:t>„in the money“</w:t>
      </w:r>
      <w:r>
        <w:t xml:space="preserve"> do </w:t>
      </w:r>
      <w:r w:rsidRPr="00E3304D">
        <w:rPr>
          <w:i/>
        </w:rPr>
        <w:t>„out of the money“</w:t>
      </w:r>
      <w:r>
        <w:t xml:space="preserve"> a naopak. Tuto hodnotu lze stanovit jako</w:t>
      </w:r>
      <w:r w:rsidR="005F440F">
        <w:t> </w:t>
      </w:r>
      <w:r>
        <w:t xml:space="preserve">rozdíl mezi cenou opce </w:t>
      </w:r>
      <w:r w:rsidR="005A2BBA">
        <w:t>(</w:t>
      </w:r>
      <w:r>
        <w:t>opční prémií</w:t>
      </w:r>
      <w:r w:rsidR="005A2BBA">
        <w:t>)</w:t>
      </w:r>
      <w:r>
        <w:t xml:space="preserve"> a vnitřní hodnotou opce.</w:t>
      </w:r>
    </w:p>
    <w:p w:rsidR="00983150" w:rsidRDefault="00C14539" w:rsidP="00983150">
      <w:pPr>
        <w:spacing w:after="240" w:line="276" w:lineRule="auto"/>
        <w:jc w:val="both"/>
      </w:pPr>
      <w:r>
        <w:t xml:space="preserve">Součtem vnitřní hodnoty opce a časové hodnoty opce lze získat hodnotu opční prémie. Velikost opční prémie </w:t>
      </w:r>
      <w:r w:rsidR="00983150">
        <w:t xml:space="preserve">ovlivňuje </w:t>
      </w:r>
      <w:r w:rsidR="003E2772">
        <w:t>řada</w:t>
      </w:r>
      <w:r w:rsidR="00983150">
        <w:t xml:space="preserve"> faktorů. Jsou jimi vztah mezi realizační cenou a</w:t>
      </w:r>
      <w:r w:rsidR="00E03378">
        <w:t> </w:t>
      </w:r>
      <w:r w:rsidR="00983150">
        <w:t xml:space="preserve">promptním kurzem, tržní úroková míra, volatilita kurzu podkladového aktiva, </w:t>
      </w:r>
      <w:r w:rsidR="005A2BBA">
        <w:t xml:space="preserve">zbývající </w:t>
      </w:r>
      <w:r w:rsidR="00983150">
        <w:t>doba do konce splatnosti opce a také vyplácené dividendy v</w:t>
      </w:r>
      <w:r w:rsidR="005A2BBA">
        <w:t> </w:t>
      </w:r>
      <w:r w:rsidR="00983150">
        <w:t>případě</w:t>
      </w:r>
      <w:r w:rsidR="005A2BBA">
        <w:t>, že jsou podkladovým aktivem akcie</w:t>
      </w:r>
      <w:r w:rsidR="00983150">
        <w:t>.</w:t>
      </w:r>
    </w:p>
    <w:p w:rsidR="00983150" w:rsidRPr="003E2772" w:rsidRDefault="00983150" w:rsidP="003E2772">
      <w:pPr>
        <w:pStyle w:val="Odstavecseseznamem"/>
        <w:numPr>
          <w:ilvl w:val="0"/>
          <w:numId w:val="14"/>
        </w:numPr>
        <w:jc w:val="both"/>
        <w:rPr>
          <w:rFonts w:ascii="Times New Roman" w:hAnsi="Times New Roman" w:cs="Times New Roman"/>
          <w:sz w:val="24"/>
          <w:szCs w:val="24"/>
          <w:u w:val="single"/>
        </w:rPr>
      </w:pPr>
      <w:r w:rsidRPr="003E2772">
        <w:rPr>
          <w:rFonts w:ascii="Times New Roman" w:hAnsi="Times New Roman" w:cs="Times New Roman"/>
          <w:sz w:val="24"/>
          <w:szCs w:val="24"/>
          <w:u w:val="single"/>
        </w:rPr>
        <w:lastRenderedPageBreak/>
        <w:t>Vztah realizační ceny a promptního kurzu</w:t>
      </w:r>
      <w:r w:rsidRPr="003E2772">
        <w:rPr>
          <w:rFonts w:ascii="Times New Roman" w:hAnsi="Times New Roman" w:cs="Times New Roman"/>
          <w:sz w:val="24"/>
          <w:szCs w:val="24"/>
        </w:rPr>
        <w:t xml:space="preserve"> –</w:t>
      </w:r>
      <w:r w:rsidR="00C14539">
        <w:rPr>
          <w:rFonts w:ascii="Times New Roman" w:hAnsi="Times New Roman" w:cs="Times New Roman"/>
          <w:sz w:val="24"/>
          <w:szCs w:val="24"/>
        </w:rPr>
        <w:t xml:space="preserve"> </w:t>
      </w:r>
      <w:r w:rsidR="00E03378">
        <w:rPr>
          <w:rFonts w:ascii="Times New Roman" w:hAnsi="Times New Roman" w:cs="Times New Roman"/>
          <w:sz w:val="24"/>
          <w:szCs w:val="24"/>
        </w:rPr>
        <w:t>Časová hodnota, a tím i o</w:t>
      </w:r>
      <w:r w:rsidR="00C14539">
        <w:rPr>
          <w:rFonts w:ascii="Times New Roman" w:hAnsi="Times New Roman" w:cs="Times New Roman"/>
          <w:sz w:val="24"/>
          <w:szCs w:val="24"/>
        </w:rPr>
        <w:t>pční prémie</w:t>
      </w:r>
      <w:r w:rsidR="00E03378">
        <w:rPr>
          <w:rFonts w:ascii="Times New Roman" w:hAnsi="Times New Roman" w:cs="Times New Roman"/>
          <w:sz w:val="24"/>
          <w:szCs w:val="24"/>
        </w:rPr>
        <w:t>,</w:t>
      </w:r>
      <w:r w:rsidRPr="003E2772">
        <w:rPr>
          <w:rFonts w:ascii="Times New Roman" w:hAnsi="Times New Roman" w:cs="Times New Roman"/>
          <w:sz w:val="24"/>
          <w:szCs w:val="24"/>
        </w:rPr>
        <w:t xml:space="preserve"> je</w:t>
      </w:r>
      <w:r w:rsidR="005F440F">
        <w:rPr>
          <w:rFonts w:ascii="Times New Roman" w:hAnsi="Times New Roman" w:cs="Times New Roman"/>
          <w:sz w:val="24"/>
          <w:szCs w:val="24"/>
        </w:rPr>
        <w:t> </w:t>
      </w:r>
      <w:r w:rsidRPr="003E2772">
        <w:rPr>
          <w:rFonts w:ascii="Times New Roman" w:hAnsi="Times New Roman" w:cs="Times New Roman"/>
          <w:sz w:val="24"/>
          <w:szCs w:val="24"/>
        </w:rPr>
        <w:t xml:space="preserve">nejvyšší, pokud je opce v pozici </w:t>
      </w:r>
      <w:r w:rsidRPr="00E3304D">
        <w:rPr>
          <w:rFonts w:ascii="Times New Roman" w:hAnsi="Times New Roman" w:cs="Times New Roman"/>
          <w:i/>
          <w:sz w:val="24"/>
          <w:szCs w:val="24"/>
        </w:rPr>
        <w:t>„at the money“</w:t>
      </w:r>
      <w:r w:rsidRPr="003E2772">
        <w:rPr>
          <w:rFonts w:ascii="Times New Roman" w:hAnsi="Times New Roman" w:cs="Times New Roman"/>
          <w:sz w:val="24"/>
          <w:szCs w:val="24"/>
        </w:rPr>
        <w:t>, tedy pokud se realizační cena rovná spotové ceně podkladového aktiva.</w:t>
      </w:r>
    </w:p>
    <w:p w:rsidR="003E2772" w:rsidRDefault="003E2772" w:rsidP="003E2772">
      <w:pPr>
        <w:spacing w:after="240"/>
        <w:jc w:val="both"/>
        <w:rPr>
          <w:u w:val="single"/>
        </w:rPr>
      </w:pPr>
    </w:p>
    <w:p w:rsidR="00E03378" w:rsidRPr="00E03378" w:rsidRDefault="00E03378" w:rsidP="00E03378">
      <w:pPr>
        <w:pStyle w:val="Titulek"/>
        <w:keepNext/>
        <w:spacing w:line="276" w:lineRule="auto"/>
        <w:jc w:val="both"/>
        <w:rPr>
          <w:rFonts w:ascii="Times New Roman" w:hAnsi="Times New Roman" w:cs="Times New Roman"/>
          <w:b w:val="0"/>
          <w:color w:val="auto"/>
          <w:sz w:val="24"/>
        </w:rPr>
      </w:pPr>
      <w:bookmarkStart w:id="67" w:name="_Toc354393015"/>
      <w:r w:rsidRPr="00E03378">
        <w:rPr>
          <w:rFonts w:ascii="Times New Roman" w:hAnsi="Times New Roman" w:cs="Times New Roman"/>
          <w:b w:val="0"/>
          <w:color w:val="auto"/>
          <w:sz w:val="24"/>
        </w:rPr>
        <w:t xml:space="preserve">Obr. </w:t>
      </w:r>
      <w:r w:rsidR="00FA567C" w:rsidRPr="00E03378">
        <w:rPr>
          <w:rFonts w:ascii="Times New Roman" w:hAnsi="Times New Roman" w:cs="Times New Roman"/>
          <w:b w:val="0"/>
          <w:color w:val="auto"/>
          <w:sz w:val="24"/>
        </w:rPr>
        <w:fldChar w:fldCharType="begin"/>
      </w:r>
      <w:r w:rsidRPr="00E03378">
        <w:rPr>
          <w:rFonts w:ascii="Times New Roman" w:hAnsi="Times New Roman" w:cs="Times New Roman"/>
          <w:b w:val="0"/>
          <w:color w:val="auto"/>
          <w:sz w:val="24"/>
        </w:rPr>
        <w:instrText xml:space="preserve"> SEQ Obr. \* ARABIC </w:instrText>
      </w:r>
      <w:r w:rsidR="00FA567C" w:rsidRPr="00E03378">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9</w:t>
      </w:r>
      <w:r w:rsidR="00FA567C" w:rsidRPr="00E03378">
        <w:rPr>
          <w:rFonts w:ascii="Times New Roman" w:hAnsi="Times New Roman" w:cs="Times New Roman"/>
          <w:b w:val="0"/>
          <w:color w:val="auto"/>
          <w:sz w:val="24"/>
        </w:rPr>
        <w:fldChar w:fldCharType="end"/>
      </w:r>
      <w:r w:rsidRPr="00E03378">
        <w:rPr>
          <w:rFonts w:ascii="Times New Roman" w:hAnsi="Times New Roman" w:cs="Times New Roman"/>
          <w:b w:val="0"/>
          <w:color w:val="auto"/>
          <w:sz w:val="24"/>
        </w:rPr>
        <w:t xml:space="preserve">: Opční prémie ve vztahu mezi realizační </w:t>
      </w:r>
      <w:r>
        <w:rPr>
          <w:rFonts w:ascii="Times New Roman" w:hAnsi="Times New Roman" w:cs="Times New Roman"/>
          <w:b w:val="0"/>
          <w:color w:val="auto"/>
          <w:sz w:val="24"/>
        </w:rPr>
        <w:t>a spotovou cenou</w:t>
      </w:r>
      <w:bookmarkEnd w:id="67"/>
    </w:p>
    <w:p w:rsidR="00983150" w:rsidRPr="003E2772" w:rsidRDefault="00E03378" w:rsidP="00983150">
      <w:pPr>
        <w:pStyle w:val="Odstavecseseznamem"/>
        <w:keepNext/>
        <w:spacing w:after="240"/>
        <w:ind w:left="0"/>
        <w:jc w:val="center"/>
        <w:rPr>
          <w:rFonts w:ascii="Times New Roman" w:hAnsi="Times New Roman" w:cs="Times New Roman"/>
        </w:rPr>
      </w:pPr>
      <w:r w:rsidRPr="00E03378">
        <w:rPr>
          <w:rFonts w:ascii="Times New Roman" w:hAnsi="Times New Roman" w:cs="Times New Roman"/>
          <w:noProof/>
          <w:szCs w:val="24"/>
          <w:lang w:eastAsia="cs-CZ"/>
        </w:rPr>
        <w:drawing>
          <wp:inline distT="0" distB="0" distL="0" distR="0">
            <wp:extent cx="3819525" cy="1704975"/>
            <wp:effectExtent l="19050" t="0" r="9525" b="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l="8817" t="4124" r="4946" b="3608"/>
                    <a:stretch>
                      <a:fillRect/>
                    </a:stretch>
                  </pic:blipFill>
                  <pic:spPr bwMode="auto">
                    <a:xfrm>
                      <a:off x="0" y="0"/>
                      <a:ext cx="3819525" cy="1704975"/>
                    </a:xfrm>
                    <a:prstGeom prst="rect">
                      <a:avLst/>
                    </a:prstGeom>
                    <a:noFill/>
                    <a:ln w="9525">
                      <a:noFill/>
                      <a:miter lim="800000"/>
                      <a:headEnd/>
                      <a:tailEnd/>
                    </a:ln>
                  </pic:spPr>
                </pic:pic>
              </a:graphicData>
            </a:graphic>
          </wp:inline>
        </w:drawing>
      </w:r>
    </w:p>
    <w:p w:rsidR="00E03378" w:rsidRDefault="003E2772" w:rsidP="00E03378">
      <w:pPr>
        <w:spacing w:after="240" w:line="276" w:lineRule="auto"/>
        <w:jc w:val="both"/>
        <w:rPr>
          <w:i/>
          <w:sz w:val="20"/>
          <w:szCs w:val="20"/>
          <w:lang w:eastAsia="cs-CZ"/>
        </w:rPr>
      </w:pPr>
      <w:r w:rsidRPr="005F440F">
        <w:rPr>
          <w:i/>
          <w:sz w:val="20"/>
          <w:szCs w:val="20"/>
        </w:rPr>
        <w:t xml:space="preserve">Pramen: </w:t>
      </w:r>
      <w:r w:rsidR="00E03378" w:rsidRPr="005F440F">
        <w:rPr>
          <w:i/>
          <w:sz w:val="20"/>
          <w:szCs w:val="20"/>
          <w:lang w:eastAsia="cs-CZ"/>
        </w:rPr>
        <w:t xml:space="preserve">KISLINGEROVÁ, Eva. </w:t>
      </w:r>
      <w:r w:rsidR="00E03378" w:rsidRPr="005F440F">
        <w:rPr>
          <w:i/>
          <w:iCs/>
          <w:sz w:val="20"/>
          <w:szCs w:val="20"/>
          <w:lang w:eastAsia="cs-CZ"/>
        </w:rPr>
        <w:t>Manažerské finance</w:t>
      </w:r>
      <w:r w:rsidR="00E03378" w:rsidRPr="005F440F">
        <w:rPr>
          <w:i/>
          <w:sz w:val="20"/>
          <w:szCs w:val="20"/>
          <w:lang w:eastAsia="cs-CZ"/>
        </w:rPr>
        <w:t>. 3. vyd. Praha: C.H. Beck, 2010, xxxviii, 811 s. ISBN 9788074001949. s. 361</w:t>
      </w:r>
    </w:p>
    <w:p w:rsidR="001F3E1C" w:rsidRPr="001F3E1C" w:rsidRDefault="001F3E1C" w:rsidP="00E03378">
      <w:pPr>
        <w:spacing w:after="240" w:line="276" w:lineRule="auto"/>
        <w:jc w:val="both"/>
        <w:rPr>
          <w:szCs w:val="20"/>
          <w:lang w:eastAsia="cs-CZ"/>
        </w:rPr>
      </w:pPr>
    </w:p>
    <w:p w:rsidR="00983150" w:rsidRPr="003E2772" w:rsidRDefault="00983150" w:rsidP="003E2772">
      <w:pPr>
        <w:pStyle w:val="Odstavecseseznamem"/>
        <w:numPr>
          <w:ilvl w:val="0"/>
          <w:numId w:val="14"/>
        </w:numPr>
        <w:ind w:left="714" w:hanging="357"/>
        <w:contextualSpacing w:val="0"/>
        <w:jc w:val="both"/>
        <w:rPr>
          <w:rFonts w:ascii="Times New Roman" w:hAnsi="Times New Roman" w:cs="Times New Roman"/>
          <w:sz w:val="24"/>
          <w:szCs w:val="24"/>
          <w:u w:val="single"/>
        </w:rPr>
      </w:pPr>
      <w:r w:rsidRPr="003E2772">
        <w:rPr>
          <w:rFonts w:ascii="Times New Roman" w:hAnsi="Times New Roman" w:cs="Times New Roman"/>
          <w:sz w:val="24"/>
          <w:szCs w:val="24"/>
          <w:u w:val="single"/>
        </w:rPr>
        <w:t>Tržní úroková míra</w:t>
      </w:r>
      <w:r w:rsidRPr="003E2772">
        <w:rPr>
          <w:rFonts w:ascii="Times New Roman" w:hAnsi="Times New Roman" w:cs="Times New Roman"/>
          <w:sz w:val="24"/>
          <w:szCs w:val="24"/>
        </w:rPr>
        <w:t xml:space="preserve"> – Růst tržní úrokové míry zvýhodňuje majitele call opcí a</w:t>
      </w:r>
      <w:r w:rsidR="003E2772">
        <w:rPr>
          <w:rFonts w:ascii="Times New Roman" w:hAnsi="Times New Roman" w:cs="Times New Roman"/>
          <w:sz w:val="24"/>
          <w:szCs w:val="24"/>
        </w:rPr>
        <w:t> </w:t>
      </w:r>
      <w:r w:rsidRPr="003E2772">
        <w:rPr>
          <w:rFonts w:ascii="Times New Roman" w:hAnsi="Times New Roman" w:cs="Times New Roman"/>
          <w:sz w:val="24"/>
          <w:szCs w:val="24"/>
        </w:rPr>
        <w:t xml:space="preserve">znevýhodňuje majitele put opcí. </w:t>
      </w:r>
      <w:r w:rsidR="003E2772">
        <w:rPr>
          <w:rFonts w:ascii="Times New Roman" w:hAnsi="Times New Roman" w:cs="Times New Roman"/>
          <w:sz w:val="24"/>
          <w:szCs w:val="24"/>
        </w:rPr>
        <w:t xml:space="preserve">Majitelé call opcí </w:t>
      </w:r>
      <w:r w:rsidRPr="003E2772">
        <w:rPr>
          <w:rFonts w:ascii="Times New Roman" w:hAnsi="Times New Roman" w:cs="Times New Roman"/>
          <w:sz w:val="24"/>
          <w:szCs w:val="24"/>
        </w:rPr>
        <w:t>platí realizační cenu opce až</w:t>
      </w:r>
      <w:r w:rsidR="00C85668">
        <w:rPr>
          <w:rFonts w:ascii="Times New Roman" w:hAnsi="Times New Roman" w:cs="Times New Roman"/>
          <w:sz w:val="24"/>
          <w:szCs w:val="24"/>
        </w:rPr>
        <w:t> </w:t>
      </w:r>
      <w:r w:rsidRPr="003E2772">
        <w:rPr>
          <w:rFonts w:ascii="Times New Roman" w:hAnsi="Times New Roman" w:cs="Times New Roman"/>
          <w:sz w:val="24"/>
          <w:szCs w:val="24"/>
        </w:rPr>
        <w:t>při</w:t>
      </w:r>
      <w:r w:rsidR="00C85668">
        <w:rPr>
          <w:rFonts w:ascii="Times New Roman" w:hAnsi="Times New Roman" w:cs="Times New Roman"/>
          <w:sz w:val="24"/>
          <w:szCs w:val="24"/>
        </w:rPr>
        <w:t> </w:t>
      </w:r>
      <w:r w:rsidRPr="003E2772">
        <w:rPr>
          <w:rFonts w:ascii="Times New Roman" w:hAnsi="Times New Roman" w:cs="Times New Roman"/>
          <w:sz w:val="24"/>
          <w:szCs w:val="24"/>
        </w:rPr>
        <w:t>jejím uplatnění. Do té doby mohou své volné finanční prostředky</w:t>
      </w:r>
      <w:r w:rsidR="003E2772" w:rsidRPr="003E2772">
        <w:rPr>
          <w:rFonts w:ascii="Times New Roman" w:hAnsi="Times New Roman" w:cs="Times New Roman"/>
          <w:sz w:val="24"/>
          <w:szCs w:val="24"/>
        </w:rPr>
        <w:t xml:space="preserve"> vhodně</w:t>
      </w:r>
      <w:r w:rsidRPr="003E2772">
        <w:rPr>
          <w:rFonts w:ascii="Times New Roman" w:hAnsi="Times New Roman" w:cs="Times New Roman"/>
          <w:sz w:val="24"/>
          <w:szCs w:val="24"/>
        </w:rPr>
        <w:t xml:space="preserve"> uložit a</w:t>
      </w:r>
      <w:r w:rsidR="003E2772" w:rsidRPr="003E2772">
        <w:rPr>
          <w:rFonts w:ascii="Times New Roman" w:hAnsi="Times New Roman" w:cs="Times New Roman"/>
          <w:sz w:val="24"/>
          <w:szCs w:val="24"/>
        </w:rPr>
        <w:t> </w:t>
      </w:r>
      <w:r w:rsidRPr="003E2772">
        <w:rPr>
          <w:rFonts w:ascii="Times New Roman" w:hAnsi="Times New Roman" w:cs="Times New Roman"/>
          <w:sz w:val="24"/>
          <w:szCs w:val="24"/>
        </w:rPr>
        <w:t>inkasovat úroky. Naopak pro majitele put opcí znamená</w:t>
      </w:r>
      <w:r w:rsidR="003E2772" w:rsidRPr="003E2772">
        <w:rPr>
          <w:rFonts w:ascii="Times New Roman" w:hAnsi="Times New Roman" w:cs="Times New Roman"/>
          <w:sz w:val="24"/>
          <w:szCs w:val="24"/>
        </w:rPr>
        <w:t xml:space="preserve"> tržní úrokový míra</w:t>
      </w:r>
      <w:r w:rsidRPr="003E2772">
        <w:rPr>
          <w:rFonts w:ascii="Times New Roman" w:hAnsi="Times New Roman" w:cs="Times New Roman"/>
          <w:sz w:val="24"/>
          <w:szCs w:val="24"/>
        </w:rPr>
        <w:t xml:space="preserve"> náklady na pořízení podkladového aktiva a jeho držení až do uplatnění opce.</w:t>
      </w:r>
      <w:r w:rsidRPr="003E2772">
        <w:rPr>
          <w:rStyle w:val="Znakapoznpodarou"/>
          <w:rFonts w:ascii="Times New Roman" w:hAnsi="Times New Roman" w:cs="Times New Roman"/>
          <w:sz w:val="24"/>
          <w:szCs w:val="24"/>
        </w:rPr>
        <w:footnoteReference w:id="102"/>
      </w:r>
    </w:p>
    <w:p w:rsidR="00983150" w:rsidRPr="003E2772" w:rsidRDefault="00983150" w:rsidP="003E2772">
      <w:pPr>
        <w:pStyle w:val="Odstavecseseznamem"/>
        <w:numPr>
          <w:ilvl w:val="0"/>
          <w:numId w:val="14"/>
        </w:numPr>
        <w:ind w:left="714" w:hanging="357"/>
        <w:contextualSpacing w:val="0"/>
        <w:jc w:val="both"/>
        <w:rPr>
          <w:rFonts w:ascii="Times New Roman" w:hAnsi="Times New Roman" w:cs="Times New Roman"/>
          <w:sz w:val="24"/>
          <w:szCs w:val="24"/>
        </w:rPr>
      </w:pPr>
      <w:r w:rsidRPr="003E2772">
        <w:rPr>
          <w:rFonts w:ascii="Times New Roman" w:hAnsi="Times New Roman" w:cs="Times New Roman"/>
          <w:sz w:val="24"/>
          <w:szCs w:val="24"/>
          <w:u w:val="single"/>
        </w:rPr>
        <w:t>Volatilita</w:t>
      </w:r>
      <w:r w:rsidRPr="003E2772">
        <w:rPr>
          <w:rFonts w:ascii="Times New Roman" w:hAnsi="Times New Roman" w:cs="Times New Roman"/>
          <w:sz w:val="24"/>
          <w:szCs w:val="24"/>
        </w:rPr>
        <w:t xml:space="preserve"> – Volatilita znamená určitou míru nejistoty ohledně budoucí ceny aktiva. Čím </w:t>
      </w:r>
      <w:r w:rsidR="005A2BBA">
        <w:rPr>
          <w:rFonts w:ascii="Times New Roman" w:hAnsi="Times New Roman" w:cs="Times New Roman"/>
          <w:sz w:val="24"/>
          <w:szCs w:val="24"/>
        </w:rPr>
        <w:t>dochází k větší volatilitě ceny</w:t>
      </w:r>
      <w:r w:rsidRPr="003E2772">
        <w:rPr>
          <w:rFonts w:ascii="Times New Roman" w:hAnsi="Times New Roman" w:cs="Times New Roman"/>
          <w:sz w:val="24"/>
          <w:szCs w:val="24"/>
        </w:rPr>
        <w:t xml:space="preserve"> podkladového aktiva, tím je pravděpodobnější, že</w:t>
      </w:r>
      <w:r w:rsidR="00C85668">
        <w:rPr>
          <w:rFonts w:ascii="Times New Roman" w:hAnsi="Times New Roman" w:cs="Times New Roman"/>
          <w:sz w:val="24"/>
          <w:szCs w:val="24"/>
        </w:rPr>
        <w:t> </w:t>
      </w:r>
      <w:r w:rsidRPr="003E2772">
        <w:rPr>
          <w:rFonts w:ascii="Times New Roman" w:hAnsi="Times New Roman" w:cs="Times New Roman"/>
          <w:sz w:val="24"/>
          <w:szCs w:val="24"/>
        </w:rPr>
        <w:t xml:space="preserve">se pro kupujícího opce stane uplatnění opce výhodnější. Vyšší volatilita tedy znamená vyšší </w:t>
      </w:r>
      <w:r w:rsidR="00C14539">
        <w:rPr>
          <w:rFonts w:ascii="Times New Roman" w:hAnsi="Times New Roman" w:cs="Times New Roman"/>
          <w:sz w:val="24"/>
          <w:szCs w:val="24"/>
        </w:rPr>
        <w:t>opční prémii</w:t>
      </w:r>
      <w:r w:rsidRPr="003E2772">
        <w:rPr>
          <w:rFonts w:ascii="Times New Roman" w:hAnsi="Times New Roman" w:cs="Times New Roman"/>
          <w:sz w:val="24"/>
          <w:szCs w:val="24"/>
        </w:rPr>
        <w:t xml:space="preserve"> call i put opcí.</w:t>
      </w:r>
    </w:p>
    <w:p w:rsidR="00DC1E2D" w:rsidRDefault="00983150" w:rsidP="00C85668">
      <w:pPr>
        <w:pStyle w:val="Odstavecseseznamem"/>
        <w:numPr>
          <w:ilvl w:val="0"/>
          <w:numId w:val="14"/>
        </w:numPr>
        <w:ind w:left="714" w:hanging="357"/>
        <w:contextualSpacing w:val="0"/>
        <w:jc w:val="both"/>
        <w:rPr>
          <w:rFonts w:ascii="Times New Roman" w:hAnsi="Times New Roman" w:cs="Times New Roman"/>
          <w:sz w:val="24"/>
          <w:szCs w:val="24"/>
        </w:rPr>
      </w:pPr>
      <w:r w:rsidRPr="003E2772">
        <w:rPr>
          <w:rFonts w:ascii="Times New Roman" w:hAnsi="Times New Roman" w:cs="Times New Roman"/>
          <w:sz w:val="24"/>
          <w:szCs w:val="24"/>
          <w:u w:val="single"/>
        </w:rPr>
        <w:t>Doba do splatnosti opce</w:t>
      </w:r>
      <w:r w:rsidRPr="003E2772">
        <w:rPr>
          <w:rStyle w:val="Znakapoznpodarou"/>
          <w:rFonts w:ascii="Times New Roman" w:hAnsi="Times New Roman" w:cs="Times New Roman"/>
          <w:sz w:val="24"/>
          <w:szCs w:val="24"/>
        </w:rPr>
        <w:footnoteReference w:id="103"/>
      </w:r>
      <w:r w:rsidR="00C85668">
        <w:rPr>
          <w:rFonts w:ascii="Times New Roman" w:hAnsi="Times New Roman" w:cs="Times New Roman"/>
          <w:sz w:val="24"/>
          <w:szCs w:val="24"/>
        </w:rPr>
        <w:t xml:space="preserve"> </w:t>
      </w:r>
      <w:r w:rsidR="00C85668" w:rsidRPr="003E2772">
        <w:rPr>
          <w:rFonts w:ascii="Times New Roman" w:hAnsi="Times New Roman" w:cs="Times New Roman"/>
          <w:sz w:val="24"/>
          <w:szCs w:val="24"/>
        </w:rPr>
        <w:t>–</w:t>
      </w:r>
      <w:r w:rsidR="00C85668">
        <w:rPr>
          <w:rFonts w:ascii="Times New Roman" w:hAnsi="Times New Roman" w:cs="Times New Roman"/>
          <w:sz w:val="24"/>
          <w:szCs w:val="24"/>
        </w:rPr>
        <w:t xml:space="preserve"> </w:t>
      </w:r>
      <w:r w:rsidRPr="00C85668">
        <w:rPr>
          <w:rFonts w:ascii="Times New Roman" w:hAnsi="Times New Roman" w:cs="Times New Roman"/>
          <w:sz w:val="24"/>
          <w:szCs w:val="24"/>
        </w:rPr>
        <w:t>Časová hodnota</w:t>
      </w:r>
      <w:r w:rsidR="00C14539" w:rsidRPr="00C85668">
        <w:rPr>
          <w:rFonts w:ascii="Times New Roman" w:hAnsi="Times New Roman" w:cs="Times New Roman"/>
          <w:sz w:val="24"/>
          <w:szCs w:val="24"/>
        </w:rPr>
        <w:t>, a zároveň hodnota opční prémie,</w:t>
      </w:r>
      <w:r w:rsidRPr="00C85668">
        <w:rPr>
          <w:rFonts w:ascii="Times New Roman" w:hAnsi="Times New Roman" w:cs="Times New Roman"/>
          <w:sz w:val="24"/>
          <w:szCs w:val="24"/>
        </w:rPr>
        <w:t xml:space="preserve"> </w:t>
      </w:r>
      <w:r w:rsidR="00C85668" w:rsidRPr="00C85668">
        <w:rPr>
          <w:rFonts w:ascii="Times New Roman" w:hAnsi="Times New Roman" w:cs="Times New Roman"/>
          <w:sz w:val="24"/>
          <w:szCs w:val="24"/>
        </w:rPr>
        <w:t xml:space="preserve">klesá </w:t>
      </w:r>
      <w:r w:rsidRPr="00C85668">
        <w:rPr>
          <w:rFonts w:ascii="Times New Roman" w:hAnsi="Times New Roman" w:cs="Times New Roman"/>
          <w:sz w:val="24"/>
          <w:szCs w:val="24"/>
        </w:rPr>
        <w:t>s blížící se dobou splatnosti opce. Neklesá však lineárně, je</w:t>
      </w:r>
      <w:r w:rsidR="002069ED" w:rsidRPr="00C85668">
        <w:rPr>
          <w:rFonts w:ascii="Times New Roman" w:hAnsi="Times New Roman" w:cs="Times New Roman"/>
          <w:sz w:val="24"/>
          <w:szCs w:val="24"/>
        </w:rPr>
        <w:t>jí pokles je znázorněn na</w:t>
      </w:r>
      <w:r w:rsidR="00C85668">
        <w:rPr>
          <w:rFonts w:ascii="Times New Roman" w:hAnsi="Times New Roman" w:cs="Times New Roman"/>
          <w:sz w:val="24"/>
          <w:szCs w:val="24"/>
        </w:rPr>
        <w:t> </w:t>
      </w:r>
      <w:r w:rsidR="002069ED" w:rsidRPr="00C85668">
        <w:rPr>
          <w:rFonts w:ascii="Times New Roman" w:hAnsi="Times New Roman" w:cs="Times New Roman"/>
          <w:sz w:val="24"/>
          <w:szCs w:val="24"/>
        </w:rPr>
        <w:t xml:space="preserve">Obr. </w:t>
      </w:r>
      <w:r w:rsidR="005A2BBA" w:rsidRPr="00C85668">
        <w:rPr>
          <w:rFonts w:ascii="Times New Roman" w:hAnsi="Times New Roman" w:cs="Times New Roman"/>
          <w:sz w:val="24"/>
          <w:szCs w:val="24"/>
        </w:rPr>
        <w:t>10</w:t>
      </w:r>
      <w:r w:rsidR="00E3304D" w:rsidRPr="00C85668">
        <w:rPr>
          <w:rFonts w:ascii="Times New Roman" w:hAnsi="Times New Roman" w:cs="Times New Roman"/>
          <w:sz w:val="24"/>
          <w:szCs w:val="24"/>
        </w:rPr>
        <w:t>.</w:t>
      </w:r>
      <w:r w:rsidRPr="00C85668">
        <w:rPr>
          <w:rFonts w:ascii="Times New Roman" w:hAnsi="Times New Roman" w:cs="Times New Roman"/>
          <w:sz w:val="24"/>
          <w:szCs w:val="24"/>
        </w:rPr>
        <w:t xml:space="preserve"> Nejvýraznější pokles přichází nejčastěji v posledních dvou týdnech</w:t>
      </w:r>
      <w:r w:rsidR="00C85668">
        <w:rPr>
          <w:rFonts w:ascii="Times New Roman" w:hAnsi="Times New Roman" w:cs="Times New Roman"/>
          <w:sz w:val="24"/>
          <w:szCs w:val="24"/>
        </w:rPr>
        <w:t xml:space="preserve"> platnosti opce</w:t>
      </w:r>
      <w:r w:rsidRPr="00C85668">
        <w:rPr>
          <w:rFonts w:ascii="Times New Roman" w:hAnsi="Times New Roman" w:cs="Times New Roman"/>
          <w:sz w:val="24"/>
          <w:szCs w:val="24"/>
        </w:rPr>
        <w:t>. Tento pokles je dán psychologií investorů.</w:t>
      </w:r>
      <w:r w:rsidRPr="003E2772">
        <w:rPr>
          <w:rStyle w:val="Znakapoznpodarou"/>
          <w:rFonts w:ascii="Times New Roman" w:hAnsi="Times New Roman" w:cs="Times New Roman"/>
          <w:sz w:val="24"/>
          <w:szCs w:val="24"/>
        </w:rPr>
        <w:footnoteReference w:id="104"/>
      </w:r>
      <w:r w:rsidRPr="00C85668">
        <w:rPr>
          <w:rFonts w:ascii="Times New Roman" w:hAnsi="Times New Roman" w:cs="Times New Roman"/>
          <w:sz w:val="24"/>
          <w:szCs w:val="24"/>
        </w:rPr>
        <w:t xml:space="preserve"> S blížící se dobou splatnosti už investoři neočekávají velký výkyvy ve vývoji podkladového aktiva. </w:t>
      </w:r>
      <w:r w:rsidRPr="00C85668">
        <w:rPr>
          <w:rFonts w:ascii="Times New Roman" w:hAnsi="Times New Roman" w:cs="Times New Roman"/>
          <w:sz w:val="24"/>
          <w:szCs w:val="24"/>
        </w:rPr>
        <w:lastRenderedPageBreak/>
        <w:t>V den expirace pak už musí být zřejmé, zda je opci vhodné uplatnit či nikoli, proto</w:t>
      </w:r>
      <w:r w:rsidR="00C85668">
        <w:rPr>
          <w:rFonts w:ascii="Times New Roman" w:hAnsi="Times New Roman" w:cs="Times New Roman"/>
          <w:sz w:val="24"/>
          <w:szCs w:val="24"/>
        </w:rPr>
        <w:t> </w:t>
      </w:r>
      <w:r w:rsidRPr="00C85668">
        <w:rPr>
          <w:rFonts w:ascii="Times New Roman" w:hAnsi="Times New Roman" w:cs="Times New Roman"/>
          <w:sz w:val="24"/>
          <w:szCs w:val="24"/>
        </w:rPr>
        <w:t>je</w:t>
      </w:r>
      <w:r w:rsidR="00C85668">
        <w:rPr>
          <w:rFonts w:ascii="Times New Roman" w:hAnsi="Times New Roman" w:cs="Times New Roman"/>
          <w:sz w:val="24"/>
          <w:szCs w:val="24"/>
        </w:rPr>
        <w:t> </w:t>
      </w:r>
      <w:r w:rsidRPr="00C85668">
        <w:rPr>
          <w:rFonts w:ascii="Times New Roman" w:hAnsi="Times New Roman" w:cs="Times New Roman"/>
          <w:sz w:val="24"/>
          <w:szCs w:val="24"/>
        </w:rPr>
        <w:t>již v tuto chvíli časová hodnota opce nulová.</w:t>
      </w:r>
      <w:r w:rsidRPr="003E2772">
        <w:rPr>
          <w:rStyle w:val="Znakapoznpodarou"/>
          <w:rFonts w:ascii="Times New Roman" w:hAnsi="Times New Roman" w:cs="Times New Roman"/>
          <w:sz w:val="24"/>
          <w:szCs w:val="24"/>
        </w:rPr>
        <w:footnoteReference w:id="105"/>
      </w:r>
    </w:p>
    <w:p w:rsidR="00C85668" w:rsidRPr="00C85668" w:rsidRDefault="00C85668" w:rsidP="00C85668">
      <w:pPr>
        <w:spacing w:after="240"/>
        <w:ind w:left="357"/>
        <w:jc w:val="both"/>
      </w:pPr>
    </w:p>
    <w:p w:rsidR="002069ED" w:rsidRPr="002069ED" w:rsidRDefault="002069ED" w:rsidP="002069ED">
      <w:pPr>
        <w:pStyle w:val="Titulek"/>
        <w:keepNext/>
        <w:spacing w:line="276" w:lineRule="auto"/>
        <w:jc w:val="both"/>
        <w:rPr>
          <w:rFonts w:ascii="Times New Roman" w:hAnsi="Times New Roman" w:cs="Times New Roman"/>
          <w:b w:val="0"/>
          <w:color w:val="auto"/>
          <w:sz w:val="24"/>
        </w:rPr>
      </w:pPr>
      <w:bookmarkStart w:id="68" w:name="_Toc354393016"/>
      <w:r w:rsidRPr="002069ED">
        <w:rPr>
          <w:rFonts w:ascii="Times New Roman" w:hAnsi="Times New Roman" w:cs="Times New Roman"/>
          <w:b w:val="0"/>
          <w:color w:val="auto"/>
          <w:sz w:val="24"/>
        </w:rPr>
        <w:t xml:space="preserve">Obr. </w:t>
      </w:r>
      <w:r w:rsidR="00FA567C" w:rsidRPr="002069ED">
        <w:rPr>
          <w:rFonts w:ascii="Times New Roman" w:hAnsi="Times New Roman" w:cs="Times New Roman"/>
          <w:b w:val="0"/>
          <w:color w:val="auto"/>
          <w:sz w:val="24"/>
        </w:rPr>
        <w:fldChar w:fldCharType="begin"/>
      </w:r>
      <w:r w:rsidRPr="002069ED">
        <w:rPr>
          <w:rFonts w:ascii="Times New Roman" w:hAnsi="Times New Roman" w:cs="Times New Roman"/>
          <w:b w:val="0"/>
          <w:color w:val="auto"/>
          <w:sz w:val="24"/>
        </w:rPr>
        <w:instrText xml:space="preserve"> SEQ Obr. \* ARABIC </w:instrText>
      </w:r>
      <w:r w:rsidR="00FA567C" w:rsidRPr="002069ED">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10</w:t>
      </w:r>
      <w:r w:rsidR="00FA567C" w:rsidRPr="002069ED">
        <w:rPr>
          <w:rFonts w:ascii="Times New Roman" w:hAnsi="Times New Roman" w:cs="Times New Roman"/>
          <w:b w:val="0"/>
          <w:color w:val="auto"/>
          <w:sz w:val="24"/>
        </w:rPr>
        <w:fldChar w:fldCharType="end"/>
      </w:r>
      <w:r w:rsidRPr="002069ED">
        <w:rPr>
          <w:rFonts w:ascii="Times New Roman" w:hAnsi="Times New Roman" w:cs="Times New Roman"/>
          <w:b w:val="0"/>
          <w:color w:val="auto"/>
          <w:sz w:val="24"/>
        </w:rPr>
        <w:t>: Časová hodnota opce v závislosti na době splatnosti opce</w:t>
      </w:r>
      <w:bookmarkEnd w:id="68"/>
    </w:p>
    <w:p w:rsidR="00983150" w:rsidRDefault="00983150" w:rsidP="00983150">
      <w:pPr>
        <w:pStyle w:val="Odstavecseseznamem"/>
        <w:keepNext/>
        <w:ind w:left="0"/>
        <w:jc w:val="center"/>
        <w:rPr>
          <w:rFonts w:ascii="Times New Roman" w:hAnsi="Times New Roman" w:cs="Times New Roman"/>
        </w:rPr>
      </w:pPr>
      <w:r w:rsidRPr="003E2772">
        <w:rPr>
          <w:rFonts w:ascii="Times New Roman" w:hAnsi="Times New Roman" w:cs="Times New Roman"/>
          <w:noProof/>
          <w:szCs w:val="24"/>
          <w:lang w:eastAsia="cs-CZ"/>
        </w:rPr>
        <w:drawing>
          <wp:inline distT="0" distB="0" distL="0" distR="0">
            <wp:extent cx="4562475" cy="2482266"/>
            <wp:effectExtent l="19050" t="0" r="9525" b="0"/>
            <wp:docPr id="19"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t="2405" r="1111"/>
                    <a:stretch>
                      <a:fillRect/>
                    </a:stretch>
                  </pic:blipFill>
                  <pic:spPr bwMode="auto">
                    <a:xfrm>
                      <a:off x="0" y="0"/>
                      <a:ext cx="4570390" cy="2486572"/>
                    </a:xfrm>
                    <a:prstGeom prst="rect">
                      <a:avLst/>
                    </a:prstGeom>
                    <a:noFill/>
                    <a:ln w="9525">
                      <a:noFill/>
                      <a:miter lim="800000"/>
                      <a:headEnd/>
                      <a:tailEnd/>
                    </a:ln>
                  </pic:spPr>
                </pic:pic>
              </a:graphicData>
            </a:graphic>
          </wp:inline>
        </w:drawing>
      </w:r>
    </w:p>
    <w:p w:rsidR="002069ED" w:rsidRPr="006A44EE" w:rsidRDefault="002069ED" w:rsidP="002069ED">
      <w:pPr>
        <w:pStyle w:val="Odstavecseseznamem"/>
        <w:keepNext/>
        <w:ind w:left="0"/>
        <w:contextualSpacing w:val="0"/>
        <w:jc w:val="both"/>
        <w:rPr>
          <w:rFonts w:ascii="Times New Roman" w:hAnsi="Times New Roman" w:cs="Times New Roman"/>
          <w:i/>
          <w:sz w:val="20"/>
          <w:szCs w:val="20"/>
        </w:rPr>
      </w:pPr>
      <w:r w:rsidRPr="006A44EE">
        <w:rPr>
          <w:rFonts w:ascii="Times New Roman" w:hAnsi="Times New Roman" w:cs="Times New Roman"/>
          <w:i/>
          <w:sz w:val="20"/>
          <w:szCs w:val="20"/>
        </w:rPr>
        <w:t xml:space="preserve">Pramen: Vlastní zpracování </w:t>
      </w:r>
    </w:p>
    <w:p w:rsidR="00C85668" w:rsidRDefault="00C85668">
      <w:pPr>
        <w:suppressAutoHyphens w:val="0"/>
        <w:spacing w:after="200" w:line="276" w:lineRule="auto"/>
      </w:pPr>
    </w:p>
    <w:p w:rsidR="00983150" w:rsidRPr="002069ED" w:rsidRDefault="00983150" w:rsidP="00983150">
      <w:pPr>
        <w:spacing w:after="240" w:line="276" w:lineRule="auto"/>
        <w:ind w:left="709"/>
        <w:jc w:val="both"/>
      </w:pPr>
      <w:r w:rsidRPr="003E2772">
        <w:t>Z předchozího textu lze dovodit jednu zásadní věc. Pokud vlastník</w:t>
      </w:r>
      <w:r w:rsidR="005A2BBA">
        <w:t xml:space="preserve"> americké</w:t>
      </w:r>
      <w:r w:rsidRPr="003E2772">
        <w:t xml:space="preserve"> kupní opce uplatní opci před jejím datem splatnosti, </w:t>
      </w:r>
      <w:r w:rsidR="005A2BBA">
        <w:t>získá</w:t>
      </w:r>
      <w:r w:rsidRPr="003E2772">
        <w:t xml:space="preserve"> částku S - X.</w:t>
      </w:r>
      <w:r w:rsidR="002069ED">
        <w:t xml:space="preserve"> „S“ vyjadřuje hodnotu spotové ceny podkladového aktiva, „X“ je hodnota realizační ceny.</w:t>
      </w:r>
      <w:r w:rsidRPr="003E2772">
        <w:t xml:space="preserve"> Pokud však </w:t>
      </w:r>
      <w:r w:rsidR="002069ED">
        <w:t xml:space="preserve">majitel </w:t>
      </w:r>
      <w:r w:rsidRPr="003E2772">
        <w:t xml:space="preserve">opci před splatností prodá na trhu, obdrží částku S - X </w:t>
      </w:r>
      <w:r w:rsidRPr="002069ED">
        <w:t>navýšenou o časovou hodnotu opce. Inkasuje tedy větší peněžní obnos, než pokud by opci uplatnil. Lze tedy tvrdit, že se za normálních okolností nevyplatí</w:t>
      </w:r>
      <w:r w:rsidR="002069ED">
        <w:t xml:space="preserve"> americkou</w:t>
      </w:r>
      <w:r w:rsidRPr="002069ED">
        <w:t xml:space="preserve"> opci uplatnit před datem splatnosti, jelikož uplatněním opce investor ztrácí časovou hodnotu opce.</w:t>
      </w:r>
      <w:r w:rsidRPr="002069ED">
        <w:rPr>
          <w:rStyle w:val="Znakapoznpodarou"/>
          <w:rFonts w:eastAsiaTheme="majorEastAsia"/>
        </w:rPr>
        <w:footnoteReference w:id="106"/>
      </w:r>
    </w:p>
    <w:p w:rsidR="00983150" w:rsidRPr="002069ED" w:rsidRDefault="00983150" w:rsidP="00983150">
      <w:pPr>
        <w:pStyle w:val="Odstavecseseznamem"/>
        <w:numPr>
          <w:ilvl w:val="0"/>
          <w:numId w:val="15"/>
        </w:numPr>
        <w:spacing w:after="240"/>
        <w:jc w:val="both"/>
        <w:rPr>
          <w:rFonts w:ascii="Times New Roman" w:hAnsi="Times New Roman" w:cs="Times New Roman"/>
          <w:sz w:val="24"/>
          <w:szCs w:val="24"/>
          <w:u w:val="single"/>
        </w:rPr>
      </w:pPr>
      <w:r w:rsidRPr="002069ED">
        <w:rPr>
          <w:rFonts w:ascii="Times New Roman" w:hAnsi="Times New Roman" w:cs="Times New Roman"/>
          <w:sz w:val="24"/>
          <w:szCs w:val="24"/>
          <w:u w:val="single"/>
        </w:rPr>
        <w:t>Výplata dividendy</w:t>
      </w:r>
      <w:r w:rsidRPr="002069ED">
        <w:rPr>
          <w:rFonts w:ascii="Times New Roman" w:hAnsi="Times New Roman" w:cs="Times New Roman"/>
          <w:sz w:val="24"/>
          <w:szCs w:val="24"/>
        </w:rPr>
        <w:t xml:space="preserve"> – Tento faktor</w:t>
      </w:r>
      <w:r w:rsidR="002069ED">
        <w:rPr>
          <w:rFonts w:ascii="Times New Roman" w:hAnsi="Times New Roman" w:cs="Times New Roman"/>
          <w:sz w:val="24"/>
          <w:szCs w:val="24"/>
        </w:rPr>
        <w:t xml:space="preserve"> ovlivňuje cenu opce</w:t>
      </w:r>
      <w:r w:rsidR="005A2BBA">
        <w:rPr>
          <w:rFonts w:ascii="Times New Roman" w:hAnsi="Times New Roman" w:cs="Times New Roman"/>
          <w:sz w:val="24"/>
          <w:szCs w:val="24"/>
        </w:rPr>
        <w:t>,</w:t>
      </w:r>
      <w:r w:rsidR="002069ED">
        <w:rPr>
          <w:rFonts w:ascii="Times New Roman" w:hAnsi="Times New Roman" w:cs="Times New Roman"/>
          <w:sz w:val="24"/>
          <w:szCs w:val="24"/>
        </w:rPr>
        <w:t xml:space="preserve"> </w:t>
      </w:r>
      <w:r w:rsidRPr="002069ED">
        <w:rPr>
          <w:rFonts w:ascii="Times New Roman" w:hAnsi="Times New Roman" w:cs="Times New Roman"/>
          <w:sz w:val="24"/>
          <w:szCs w:val="24"/>
        </w:rPr>
        <w:t xml:space="preserve">pouze pokud </w:t>
      </w:r>
      <w:r w:rsidR="005A2BBA">
        <w:rPr>
          <w:rFonts w:ascii="Times New Roman" w:hAnsi="Times New Roman" w:cs="Times New Roman"/>
          <w:sz w:val="24"/>
          <w:szCs w:val="24"/>
        </w:rPr>
        <w:t>se jedná o</w:t>
      </w:r>
      <w:r w:rsidRPr="002069ED">
        <w:rPr>
          <w:rFonts w:ascii="Times New Roman" w:hAnsi="Times New Roman" w:cs="Times New Roman"/>
          <w:sz w:val="24"/>
          <w:szCs w:val="24"/>
        </w:rPr>
        <w:t xml:space="preserve"> opci, která má jako podkladové aktivum </w:t>
      </w:r>
      <w:r w:rsidR="002069ED">
        <w:rPr>
          <w:rFonts w:ascii="Times New Roman" w:hAnsi="Times New Roman" w:cs="Times New Roman"/>
          <w:sz w:val="24"/>
          <w:szCs w:val="24"/>
        </w:rPr>
        <w:t>cenný papír s výplatou dividend</w:t>
      </w:r>
      <w:r w:rsidRPr="002069ED">
        <w:rPr>
          <w:rFonts w:ascii="Times New Roman" w:hAnsi="Times New Roman" w:cs="Times New Roman"/>
          <w:sz w:val="24"/>
          <w:szCs w:val="24"/>
        </w:rPr>
        <w:t>. Dividendy mají za následek pokles hodnoty ceny akcie o hodnotu dividendy</w:t>
      </w:r>
      <w:r w:rsidRPr="002069ED">
        <w:rPr>
          <w:rStyle w:val="Znakapoznpodarou"/>
          <w:rFonts w:ascii="Times New Roman" w:hAnsi="Times New Roman" w:cs="Times New Roman"/>
          <w:sz w:val="24"/>
          <w:szCs w:val="24"/>
        </w:rPr>
        <w:footnoteReference w:id="107"/>
      </w:r>
      <w:r w:rsidRPr="002069ED">
        <w:rPr>
          <w:rFonts w:ascii="Times New Roman" w:hAnsi="Times New Roman" w:cs="Times New Roman"/>
          <w:sz w:val="24"/>
          <w:szCs w:val="24"/>
        </w:rPr>
        <w:t xml:space="preserve">. Tím tato skutečnost ovlivní i majitele opcí. </w:t>
      </w:r>
      <w:r w:rsidR="002069ED">
        <w:rPr>
          <w:rFonts w:ascii="Times New Roman" w:hAnsi="Times New Roman" w:cs="Times New Roman"/>
          <w:sz w:val="24"/>
          <w:szCs w:val="24"/>
        </w:rPr>
        <w:t>Pokles ceny podkladového aktiva nepříznivě ovlivní majitele call opcí. N</w:t>
      </w:r>
      <w:r w:rsidRPr="002069ED">
        <w:rPr>
          <w:rFonts w:ascii="Times New Roman" w:hAnsi="Times New Roman" w:cs="Times New Roman"/>
          <w:sz w:val="24"/>
          <w:szCs w:val="24"/>
        </w:rPr>
        <w:t>aop</w:t>
      </w:r>
      <w:r w:rsidR="002069ED">
        <w:rPr>
          <w:rFonts w:ascii="Times New Roman" w:hAnsi="Times New Roman" w:cs="Times New Roman"/>
          <w:sz w:val="24"/>
          <w:szCs w:val="24"/>
        </w:rPr>
        <w:t>ak pro majitele put opcí je pokles cen akcie pozitivn</w:t>
      </w:r>
      <w:r w:rsidR="00B5381F">
        <w:rPr>
          <w:rFonts w:ascii="Times New Roman" w:hAnsi="Times New Roman" w:cs="Times New Roman"/>
          <w:sz w:val="24"/>
          <w:szCs w:val="24"/>
        </w:rPr>
        <w:t>í.</w:t>
      </w:r>
      <w:r w:rsidRPr="002069ED">
        <w:rPr>
          <w:rStyle w:val="Znakapoznpodarou"/>
          <w:rFonts w:ascii="Times New Roman" w:hAnsi="Times New Roman" w:cs="Times New Roman"/>
          <w:sz w:val="24"/>
          <w:szCs w:val="24"/>
        </w:rPr>
        <w:footnoteReference w:id="108"/>
      </w:r>
    </w:p>
    <w:p w:rsidR="001F3E1C" w:rsidRDefault="001F3E1C">
      <w:pPr>
        <w:suppressAutoHyphens w:val="0"/>
        <w:spacing w:after="200" w:line="276" w:lineRule="auto"/>
      </w:pPr>
      <w:r>
        <w:br w:type="page"/>
      </w:r>
    </w:p>
    <w:p w:rsidR="00983150" w:rsidRDefault="00DC1E2D" w:rsidP="00983150">
      <w:pPr>
        <w:spacing w:after="240" w:line="276" w:lineRule="auto"/>
        <w:jc w:val="both"/>
      </w:pPr>
      <w:r>
        <w:lastRenderedPageBreak/>
        <w:t>V Tabulce</w:t>
      </w:r>
      <w:r w:rsidR="00B5381F">
        <w:t xml:space="preserve"> </w:t>
      </w:r>
      <w:r>
        <w:t>2</w:t>
      </w:r>
      <w:r w:rsidR="00983150" w:rsidRPr="003E2772">
        <w:t xml:space="preserve"> jsou shrnuty všechny faktory ovlivňující cenu opce neboli opční prémii. Znaménko plus vyjadřuje pozitivní korelaci mezi faktorem a cenou opce, znaménko mínus naopak negativní korelaci mezi daným faktorem a cenou opce. Naznačené chování ceny opce platí pouze </w:t>
      </w:r>
      <w:r w:rsidR="00983150" w:rsidRPr="005A2BBA">
        <w:rPr>
          <w:i/>
        </w:rPr>
        <w:t>ceteris paribus</w:t>
      </w:r>
      <w:r w:rsidR="00983150" w:rsidRPr="003E2772">
        <w:t>, tedy za jinak nezměněných podmínek.</w:t>
      </w:r>
    </w:p>
    <w:p w:rsidR="00B5381F" w:rsidRPr="003E2772" w:rsidRDefault="00B5381F" w:rsidP="00983150">
      <w:pPr>
        <w:spacing w:after="240" w:line="276" w:lineRule="auto"/>
        <w:jc w:val="both"/>
      </w:pPr>
    </w:p>
    <w:p w:rsidR="00B5381F" w:rsidRPr="00B5381F" w:rsidRDefault="00B5381F" w:rsidP="00B5381F">
      <w:pPr>
        <w:pStyle w:val="Titulek"/>
        <w:keepNext/>
        <w:spacing w:line="276" w:lineRule="auto"/>
        <w:jc w:val="both"/>
        <w:rPr>
          <w:rFonts w:ascii="Times New Roman" w:hAnsi="Times New Roman" w:cs="Times New Roman"/>
          <w:b w:val="0"/>
          <w:color w:val="auto"/>
          <w:sz w:val="24"/>
        </w:rPr>
      </w:pPr>
      <w:bookmarkStart w:id="69" w:name="_Toc354393025"/>
      <w:r w:rsidRPr="00B5381F">
        <w:rPr>
          <w:rFonts w:ascii="Times New Roman" w:hAnsi="Times New Roman" w:cs="Times New Roman"/>
          <w:b w:val="0"/>
          <w:color w:val="auto"/>
          <w:sz w:val="24"/>
        </w:rPr>
        <w:t xml:space="preserve">Tabulka </w:t>
      </w:r>
      <w:r w:rsidR="00FA567C" w:rsidRPr="00B5381F">
        <w:rPr>
          <w:rFonts w:ascii="Times New Roman" w:hAnsi="Times New Roman" w:cs="Times New Roman"/>
          <w:b w:val="0"/>
          <w:color w:val="auto"/>
          <w:sz w:val="24"/>
        </w:rPr>
        <w:fldChar w:fldCharType="begin"/>
      </w:r>
      <w:r w:rsidRPr="00B5381F">
        <w:rPr>
          <w:rFonts w:ascii="Times New Roman" w:hAnsi="Times New Roman" w:cs="Times New Roman"/>
          <w:b w:val="0"/>
          <w:color w:val="auto"/>
          <w:sz w:val="24"/>
        </w:rPr>
        <w:instrText xml:space="preserve"> SEQ Tabulka \* ARABIC </w:instrText>
      </w:r>
      <w:r w:rsidR="00FA567C" w:rsidRPr="00B5381F">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2</w:t>
      </w:r>
      <w:r w:rsidR="00FA567C" w:rsidRPr="00B5381F">
        <w:rPr>
          <w:rFonts w:ascii="Times New Roman" w:hAnsi="Times New Roman" w:cs="Times New Roman"/>
          <w:b w:val="0"/>
          <w:color w:val="auto"/>
          <w:sz w:val="24"/>
        </w:rPr>
        <w:fldChar w:fldCharType="end"/>
      </w:r>
      <w:r w:rsidRPr="00B5381F">
        <w:rPr>
          <w:rFonts w:ascii="Times New Roman" w:hAnsi="Times New Roman" w:cs="Times New Roman"/>
          <w:b w:val="0"/>
          <w:color w:val="auto"/>
          <w:sz w:val="24"/>
        </w:rPr>
        <w:t>: Vliv faktorů ovlivňujících cenu opce (opční prémii)</w:t>
      </w:r>
      <w:bookmarkEnd w:id="69"/>
    </w:p>
    <w:tbl>
      <w:tblPr>
        <w:tblStyle w:val="Svtlstnovn1"/>
        <w:tblW w:w="0" w:type="auto"/>
        <w:jc w:val="center"/>
        <w:tblLook w:val="04A0"/>
      </w:tblPr>
      <w:tblGrid>
        <w:gridCol w:w="3070"/>
        <w:gridCol w:w="2240"/>
        <w:gridCol w:w="2184"/>
      </w:tblGrid>
      <w:tr w:rsidR="00983150" w:rsidRPr="003E2772" w:rsidTr="00B5381F">
        <w:trPr>
          <w:cnfStyle w:val="100000000000"/>
          <w:jc w:val="center"/>
        </w:trPr>
        <w:tc>
          <w:tcPr>
            <w:cnfStyle w:val="001000000000"/>
            <w:tcW w:w="3070" w:type="dxa"/>
            <w:vAlign w:val="center"/>
          </w:tcPr>
          <w:p w:rsidR="00983150" w:rsidRPr="00B5381F" w:rsidRDefault="00983150" w:rsidP="00B5381F">
            <w:pPr>
              <w:tabs>
                <w:tab w:val="left" w:pos="915"/>
              </w:tabs>
              <w:spacing w:line="276" w:lineRule="auto"/>
              <w:rPr>
                <w:sz w:val="24"/>
              </w:rPr>
            </w:pPr>
            <w:r w:rsidRPr="00B5381F">
              <w:rPr>
                <w:sz w:val="24"/>
              </w:rPr>
              <w:t>Faktory</w:t>
            </w:r>
          </w:p>
        </w:tc>
        <w:tc>
          <w:tcPr>
            <w:tcW w:w="2240" w:type="dxa"/>
            <w:vAlign w:val="center"/>
          </w:tcPr>
          <w:p w:rsidR="00983150" w:rsidRPr="00B5381F" w:rsidRDefault="00983150" w:rsidP="00B5381F">
            <w:pPr>
              <w:tabs>
                <w:tab w:val="left" w:pos="915"/>
              </w:tabs>
              <w:spacing w:line="276" w:lineRule="auto"/>
              <w:jc w:val="center"/>
              <w:cnfStyle w:val="100000000000"/>
              <w:rPr>
                <w:sz w:val="24"/>
              </w:rPr>
            </w:pPr>
            <w:r w:rsidRPr="00B5381F">
              <w:rPr>
                <w:sz w:val="24"/>
              </w:rPr>
              <w:t>Call opce</w:t>
            </w:r>
          </w:p>
        </w:tc>
        <w:tc>
          <w:tcPr>
            <w:tcW w:w="2184" w:type="dxa"/>
            <w:vAlign w:val="center"/>
          </w:tcPr>
          <w:p w:rsidR="00983150" w:rsidRPr="00B5381F" w:rsidRDefault="00983150" w:rsidP="00B5381F">
            <w:pPr>
              <w:tabs>
                <w:tab w:val="left" w:pos="915"/>
              </w:tabs>
              <w:spacing w:line="276" w:lineRule="auto"/>
              <w:jc w:val="center"/>
              <w:cnfStyle w:val="100000000000"/>
              <w:rPr>
                <w:sz w:val="24"/>
              </w:rPr>
            </w:pPr>
            <w:r w:rsidRPr="00B5381F">
              <w:rPr>
                <w:sz w:val="24"/>
              </w:rPr>
              <w:t>Put opce</w:t>
            </w:r>
          </w:p>
        </w:tc>
      </w:tr>
      <w:tr w:rsidR="00983150" w:rsidRPr="003E2772" w:rsidTr="001433CF">
        <w:trPr>
          <w:cnfStyle w:val="000000100000"/>
          <w:jc w:val="center"/>
        </w:trPr>
        <w:tc>
          <w:tcPr>
            <w:cnfStyle w:val="001000000000"/>
            <w:tcW w:w="3070" w:type="dxa"/>
            <w:shd w:val="clear" w:color="auto" w:fill="D9D9D9" w:themeFill="background1" w:themeFillShade="D9"/>
            <w:vAlign w:val="center"/>
          </w:tcPr>
          <w:p w:rsidR="00983150" w:rsidRPr="00B5381F" w:rsidRDefault="00983150" w:rsidP="00B5381F">
            <w:pPr>
              <w:tabs>
                <w:tab w:val="left" w:pos="915"/>
              </w:tabs>
              <w:spacing w:line="276" w:lineRule="auto"/>
              <w:rPr>
                <w:b w:val="0"/>
                <w:sz w:val="24"/>
              </w:rPr>
            </w:pPr>
            <w:r w:rsidRPr="00B5381F">
              <w:rPr>
                <w:b w:val="0"/>
                <w:sz w:val="24"/>
              </w:rPr>
              <w:t>Spotová cena podkladového aktiva</w:t>
            </w:r>
          </w:p>
        </w:tc>
        <w:tc>
          <w:tcPr>
            <w:tcW w:w="2240" w:type="dxa"/>
            <w:shd w:val="clear" w:color="auto" w:fill="D9D9D9" w:themeFill="background1" w:themeFillShade="D9"/>
            <w:vAlign w:val="center"/>
          </w:tcPr>
          <w:p w:rsidR="00983150" w:rsidRPr="00B5381F" w:rsidRDefault="00983150" w:rsidP="00B5381F">
            <w:pPr>
              <w:tabs>
                <w:tab w:val="left" w:pos="915"/>
              </w:tabs>
              <w:spacing w:line="276" w:lineRule="auto"/>
              <w:jc w:val="center"/>
              <w:cnfStyle w:val="000000100000"/>
              <w:rPr>
                <w:sz w:val="24"/>
              </w:rPr>
            </w:pPr>
            <w:r w:rsidRPr="00B5381F">
              <w:rPr>
                <w:sz w:val="24"/>
              </w:rPr>
              <w:t>+</w:t>
            </w:r>
          </w:p>
        </w:tc>
        <w:tc>
          <w:tcPr>
            <w:tcW w:w="2184" w:type="dxa"/>
            <w:shd w:val="clear" w:color="auto" w:fill="D9D9D9" w:themeFill="background1" w:themeFillShade="D9"/>
            <w:vAlign w:val="center"/>
          </w:tcPr>
          <w:p w:rsidR="00983150" w:rsidRPr="00B5381F" w:rsidRDefault="00983150" w:rsidP="00B5381F">
            <w:pPr>
              <w:tabs>
                <w:tab w:val="left" w:pos="915"/>
              </w:tabs>
              <w:spacing w:line="276" w:lineRule="auto"/>
              <w:jc w:val="center"/>
              <w:cnfStyle w:val="000000100000"/>
              <w:rPr>
                <w:sz w:val="24"/>
              </w:rPr>
            </w:pPr>
            <w:r w:rsidRPr="00B5381F">
              <w:rPr>
                <w:sz w:val="24"/>
              </w:rPr>
              <w:t>-</w:t>
            </w:r>
          </w:p>
        </w:tc>
      </w:tr>
      <w:tr w:rsidR="00983150" w:rsidRPr="003E2772" w:rsidTr="00B5381F">
        <w:trPr>
          <w:jc w:val="center"/>
        </w:trPr>
        <w:tc>
          <w:tcPr>
            <w:cnfStyle w:val="001000000000"/>
            <w:tcW w:w="3070" w:type="dxa"/>
            <w:vAlign w:val="center"/>
          </w:tcPr>
          <w:p w:rsidR="00983150" w:rsidRPr="00B5381F" w:rsidRDefault="00983150" w:rsidP="00B5381F">
            <w:pPr>
              <w:tabs>
                <w:tab w:val="left" w:pos="915"/>
              </w:tabs>
              <w:spacing w:line="276" w:lineRule="auto"/>
              <w:rPr>
                <w:b w:val="0"/>
                <w:sz w:val="24"/>
              </w:rPr>
            </w:pPr>
            <w:r w:rsidRPr="00B5381F">
              <w:rPr>
                <w:b w:val="0"/>
                <w:sz w:val="24"/>
              </w:rPr>
              <w:t>Realizační cena</w:t>
            </w:r>
          </w:p>
        </w:tc>
        <w:tc>
          <w:tcPr>
            <w:tcW w:w="2240" w:type="dxa"/>
            <w:vAlign w:val="center"/>
          </w:tcPr>
          <w:p w:rsidR="00983150" w:rsidRPr="00B5381F" w:rsidRDefault="00983150" w:rsidP="00B5381F">
            <w:pPr>
              <w:tabs>
                <w:tab w:val="left" w:pos="915"/>
              </w:tabs>
              <w:spacing w:line="276" w:lineRule="auto"/>
              <w:jc w:val="center"/>
              <w:cnfStyle w:val="000000000000"/>
              <w:rPr>
                <w:sz w:val="24"/>
              </w:rPr>
            </w:pPr>
            <w:r w:rsidRPr="00B5381F">
              <w:rPr>
                <w:sz w:val="24"/>
              </w:rPr>
              <w:t>-</w:t>
            </w:r>
          </w:p>
        </w:tc>
        <w:tc>
          <w:tcPr>
            <w:tcW w:w="2184" w:type="dxa"/>
            <w:vAlign w:val="center"/>
          </w:tcPr>
          <w:p w:rsidR="00983150" w:rsidRPr="00B5381F" w:rsidRDefault="00983150" w:rsidP="00B5381F">
            <w:pPr>
              <w:tabs>
                <w:tab w:val="left" w:pos="915"/>
              </w:tabs>
              <w:spacing w:line="276" w:lineRule="auto"/>
              <w:jc w:val="center"/>
              <w:cnfStyle w:val="000000000000"/>
              <w:rPr>
                <w:sz w:val="24"/>
              </w:rPr>
            </w:pPr>
            <w:r w:rsidRPr="00B5381F">
              <w:rPr>
                <w:sz w:val="24"/>
              </w:rPr>
              <w:t>+</w:t>
            </w:r>
          </w:p>
        </w:tc>
      </w:tr>
      <w:tr w:rsidR="00983150" w:rsidRPr="003E2772" w:rsidTr="001433CF">
        <w:trPr>
          <w:cnfStyle w:val="000000100000"/>
          <w:jc w:val="center"/>
        </w:trPr>
        <w:tc>
          <w:tcPr>
            <w:cnfStyle w:val="001000000000"/>
            <w:tcW w:w="3070" w:type="dxa"/>
            <w:shd w:val="clear" w:color="auto" w:fill="D9D9D9" w:themeFill="background1" w:themeFillShade="D9"/>
            <w:vAlign w:val="center"/>
          </w:tcPr>
          <w:p w:rsidR="00983150" w:rsidRPr="00B5381F" w:rsidRDefault="00983150" w:rsidP="00B5381F">
            <w:pPr>
              <w:tabs>
                <w:tab w:val="left" w:pos="915"/>
              </w:tabs>
              <w:spacing w:line="276" w:lineRule="auto"/>
              <w:rPr>
                <w:b w:val="0"/>
                <w:sz w:val="24"/>
              </w:rPr>
            </w:pPr>
            <w:r w:rsidRPr="00B5381F">
              <w:rPr>
                <w:b w:val="0"/>
                <w:sz w:val="24"/>
              </w:rPr>
              <w:t>Tržní úroková míra</w:t>
            </w:r>
          </w:p>
        </w:tc>
        <w:tc>
          <w:tcPr>
            <w:tcW w:w="2240" w:type="dxa"/>
            <w:shd w:val="clear" w:color="auto" w:fill="D9D9D9" w:themeFill="background1" w:themeFillShade="D9"/>
            <w:vAlign w:val="center"/>
          </w:tcPr>
          <w:p w:rsidR="00983150" w:rsidRPr="00B5381F" w:rsidRDefault="00983150" w:rsidP="00B5381F">
            <w:pPr>
              <w:tabs>
                <w:tab w:val="left" w:pos="915"/>
              </w:tabs>
              <w:spacing w:line="276" w:lineRule="auto"/>
              <w:jc w:val="center"/>
              <w:cnfStyle w:val="000000100000"/>
              <w:rPr>
                <w:sz w:val="24"/>
              </w:rPr>
            </w:pPr>
            <w:r w:rsidRPr="00B5381F">
              <w:rPr>
                <w:sz w:val="24"/>
              </w:rPr>
              <w:t>+</w:t>
            </w:r>
          </w:p>
        </w:tc>
        <w:tc>
          <w:tcPr>
            <w:tcW w:w="2184" w:type="dxa"/>
            <w:shd w:val="clear" w:color="auto" w:fill="D9D9D9" w:themeFill="background1" w:themeFillShade="D9"/>
            <w:vAlign w:val="center"/>
          </w:tcPr>
          <w:p w:rsidR="00983150" w:rsidRPr="00B5381F" w:rsidRDefault="00983150" w:rsidP="00B5381F">
            <w:pPr>
              <w:tabs>
                <w:tab w:val="left" w:pos="915"/>
              </w:tabs>
              <w:spacing w:line="276" w:lineRule="auto"/>
              <w:jc w:val="center"/>
              <w:cnfStyle w:val="000000100000"/>
              <w:rPr>
                <w:sz w:val="24"/>
              </w:rPr>
            </w:pPr>
            <w:r w:rsidRPr="00B5381F">
              <w:rPr>
                <w:sz w:val="24"/>
              </w:rPr>
              <w:t>-</w:t>
            </w:r>
          </w:p>
        </w:tc>
      </w:tr>
      <w:tr w:rsidR="00983150" w:rsidRPr="003E2772" w:rsidTr="00B5381F">
        <w:trPr>
          <w:jc w:val="center"/>
        </w:trPr>
        <w:tc>
          <w:tcPr>
            <w:cnfStyle w:val="001000000000"/>
            <w:tcW w:w="3070" w:type="dxa"/>
            <w:vAlign w:val="center"/>
          </w:tcPr>
          <w:p w:rsidR="00983150" w:rsidRPr="00B5381F" w:rsidRDefault="00983150" w:rsidP="00B5381F">
            <w:pPr>
              <w:tabs>
                <w:tab w:val="left" w:pos="915"/>
              </w:tabs>
              <w:spacing w:line="276" w:lineRule="auto"/>
              <w:rPr>
                <w:b w:val="0"/>
                <w:sz w:val="24"/>
              </w:rPr>
            </w:pPr>
            <w:r w:rsidRPr="00B5381F">
              <w:rPr>
                <w:b w:val="0"/>
                <w:sz w:val="24"/>
              </w:rPr>
              <w:t>Volatilita</w:t>
            </w:r>
          </w:p>
        </w:tc>
        <w:tc>
          <w:tcPr>
            <w:tcW w:w="2240" w:type="dxa"/>
            <w:vAlign w:val="center"/>
          </w:tcPr>
          <w:p w:rsidR="00983150" w:rsidRPr="00B5381F" w:rsidRDefault="00983150" w:rsidP="00B5381F">
            <w:pPr>
              <w:tabs>
                <w:tab w:val="left" w:pos="915"/>
              </w:tabs>
              <w:spacing w:line="276" w:lineRule="auto"/>
              <w:jc w:val="center"/>
              <w:cnfStyle w:val="000000000000"/>
              <w:rPr>
                <w:sz w:val="24"/>
              </w:rPr>
            </w:pPr>
            <w:r w:rsidRPr="00B5381F">
              <w:rPr>
                <w:sz w:val="24"/>
              </w:rPr>
              <w:t>+</w:t>
            </w:r>
          </w:p>
        </w:tc>
        <w:tc>
          <w:tcPr>
            <w:tcW w:w="2184" w:type="dxa"/>
            <w:vAlign w:val="center"/>
          </w:tcPr>
          <w:p w:rsidR="00983150" w:rsidRPr="00B5381F" w:rsidRDefault="00983150" w:rsidP="00B5381F">
            <w:pPr>
              <w:tabs>
                <w:tab w:val="left" w:pos="915"/>
              </w:tabs>
              <w:spacing w:line="276" w:lineRule="auto"/>
              <w:jc w:val="center"/>
              <w:cnfStyle w:val="000000000000"/>
              <w:rPr>
                <w:sz w:val="24"/>
              </w:rPr>
            </w:pPr>
            <w:r w:rsidRPr="00B5381F">
              <w:rPr>
                <w:sz w:val="24"/>
              </w:rPr>
              <w:t>+</w:t>
            </w:r>
          </w:p>
        </w:tc>
      </w:tr>
      <w:tr w:rsidR="00983150" w:rsidRPr="003E2772" w:rsidTr="001433CF">
        <w:trPr>
          <w:cnfStyle w:val="000000100000"/>
          <w:jc w:val="center"/>
        </w:trPr>
        <w:tc>
          <w:tcPr>
            <w:cnfStyle w:val="001000000000"/>
            <w:tcW w:w="3070" w:type="dxa"/>
            <w:shd w:val="clear" w:color="auto" w:fill="D9D9D9" w:themeFill="background1" w:themeFillShade="D9"/>
            <w:vAlign w:val="center"/>
          </w:tcPr>
          <w:p w:rsidR="00983150" w:rsidRPr="00B5381F" w:rsidRDefault="00983150" w:rsidP="00B5381F">
            <w:pPr>
              <w:tabs>
                <w:tab w:val="left" w:pos="915"/>
              </w:tabs>
              <w:spacing w:line="276" w:lineRule="auto"/>
              <w:rPr>
                <w:b w:val="0"/>
                <w:sz w:val="24"/>
              </w:rPr>
            </w:pPr>
            <w:r w:rsidRPr="00B5381F">
              <w:rPr>
                <w:b w:val="0"/>
                <w:sz w:val="24"/>
              </w:rPr>
              <w:t>Doba do splatnosti opce</w:t>
            </w:r>
          </w:p>
        </w:tc>
        <w:tc>
          <w:tcPr>
            <w:tcW w:w="2240" w:type="dxa"/>
            <w:shd w:val="clear" w:color="auto" w:fill="D9D9D9" w:themeFill="background1" w:themeFillShade="D9"/>
            <w:vAlign w:val="center"/>
          </w:tcPr>
          <w:p w:rsidR="00983150" w:rsidRPr="00B5381F" w:rsidRDefault="00983150" w:rsidP="00B5381F">
            <w:pPr>
              <w:tabs>
                <w:tab w:val="left" w:pos="915"/>
              </w:tabs>
              <w:spacing w:line="276" w:lineRule="auto"/>
              <w:jc w:val="center"/>
              <w:cnfStyle w:val="000000100000"/>
              <w:rPr>
                <w:sz w:val="24"/>
              </w:rPr>
            </w:pPr>
            <w:r w:rsidRPr="00B5381F">
              <w:rPr>
                <w:sz w:val="24"/>
              </w:rPr>
              <w:t>+</w:t>
            </w:r>
          </w:p>
        </w:tc>
        <w:tc>
          <w:tcPr>
            <w:tcW w:w="2184" w:type="dxa"/>
            <w:shd w:val="clear" w:color="auto" w:fill="D9D9D9" w:themeFill="background1" w:themeFillShade="D9"/>
            <w:vAlign w:val="center"/>
          </w:tcPr>
          <w:p w:rsidR="00983150" w:rsidRPr="00B5381F" w:rsidRDefault="00983150" w:rsidP="00B5381F">
            <w:pPr>
              <w:tabs>
                <w:tab w:val="left" w:pos="915"/>
              </w:tabs>
              <w:spacing w:line="276" w:lineRule="auto"/>
              <w:jc w:val="center"/>
              <w:cnfStyle w:val="000000100000"/>
              <w:rPr>
                <w:sz w:val="24"/>
              </w:rPr>
            </w:pPr>
            <w:r w:rsidRPr="00B5381F">
              <w:rPr>
                <w:sz w:val="24"/>
              </w:rPr>
              <w:t>+</w:t>
            </w:r>
          </w:p>
        </w:tc>
      </w:tr>
      <w:tr w:rsidR="00983150" w:rsidRPr="003E2772" w:rsidTr="00B5381F">
        <w:trPr>
          <w:jc w:val="center"/>
        </w:trPr>
        <w:tc>
          <w:tcPr>
            <w:cnfStyle w:val="001000000000"/>
            <w:tcW w:w="3070" w:type="dxa"/>
            <w:vAlign w:val="center"/>
          </w:tcPr>
          <w:p w:rsidR="00983150" w:rsidRPr="00B5381F" w:rsidRDefault="00983150" w:rsidP="00B5381F">
            <w:pPr>
              <w:tabs>
                <w:tab w:val="left" w:pos="915"/>
              </w:tabs>
              <w:spacing w:line="276" w:lineRule="auto"/>
              <w:rPr>
                <w:b w:val="0"/>
                <w:sz w:val="24"/>
              </w:rPr>
            </w:pPr>
            <w:r w:rsidRPr="00B5381F">
              <w:rPr>
                <w:b w:val="0"/>
                <w:sz w:val="24"/>
              </w:rPr>
              <w:t>Vyplacené dividendy</w:t>
            </w:r>
          </w:p>
        </w:tc>
        <w:tc>
          <w:tcPr>
            <w:tcW w:w="2240" w:type="dxa"/>
            <w:vAlign w:val="center"/>
          </w:tcPr>
          <w:p w:rsidR="00983150" w:rsidRPr="00B5381F" w:rsidRDefault="00983150" w:rsidP="00B5381F">
            <w:pPr>
              <w:tabs>
                <w:tab w:val="left" w:pos="915"/>
              </w:tabs>
              <w:spacing w:line="276" w:lineRule="auto"/>
              <w:jc w:val="center"/>
              <w:cnfStyle w:val="000000000000"/>
              <w:rPr>
                <w:sz w:val="24"/>
              </w:rPr>
            </w:pPr>
            <w:r w:rsidRPr="00B5381F">
              <w:rPr>
                <w:sz w:val="24"/>
              </w:rPr>
              <w:t>-</w:t>
            </w:r>
          </w:p>
        </w:tc>
        <w:tc>
          <w:tcPr>
            <w:tcW w:w="2184" w:type="dxa"/>
            <w:vAlign w:val="center"/>
          </w:tcPr>
          <w:p w:rsidR="00983150" w:rsidRPr="00B5381F" w:rsidRDefault="00983150" w:rsidP="00B5381F">
            <w:pPr>
              <w:keepNext/>
              <w:tabs>
                <w:tab w:val="left" w:pos="915"/>
              </w:tabs>
              <w:spacing w:line="276" w:lineRule="auto"/>
              <w:jc w:val="center"/>
              <w:cnfStyle w:val="000000000000"/>
              <w:rPr>
                <w:sz w:val="24"/>
              </w:rPr>
            </w:pPr>
            <w:r w:rsidRPr="00B5381F">
              <w:rPr>
                <w:sz w:val="24"/>
              </w:rPr>
              <w:t>+</w:t>
            </w:r>
          </w:p>
        </w:tc>
      </w:tr>
    </w:tbl>
    <w:p w:rsidR="00B5381F" w:rsidRDefault="00B5381F" w:rsidP="00B5381F">
      <w:pPr>
        <w:pStyle w:val="Titulek"/>
        <w:spacing w:before="240" w:line="276" w:lineRule="auto"/>
        <w:rPr>
          <w:rFonts w:ascii="Times New Roman" w:hAnsi="Times New Roman" w:cs="Times New Roman"/>
          <w:b w:val="0"/>
          <w:i/>
          <w:color w:val="auto"/>
          <w:sz w:val="20"/>
        </w:rPr>
      </w:pPr>
      <w:r>
        <w:rPr>
          <w:rFonts w:ascii="Times New Roman" w:hAnsi="Times New Roman" w:cs="Times New Roman"/>
          <w:b w:val="0"/>
          <w:i/>
          <w:color w:val="auto"/>
          <w:sz w:val="20"/>
        </w:rPr>
        <w:t>Pramen: Vlastní zpracování</w:t>
      </w:r>
    </w:p>
    <w:p w:rsidR="00C85668" w:rsidRPr="00C85668" w:rsidRDefault="00C85668" w:rsidP="00C85668">
      <w:pPr>
        <w:spacing w:after="240"/>
        <w:rPr>
          <w:lang w:eastAsia="en-US"/>
        </w:rPr>
      </w:pPr>
    </w:p>
    <w:p w:rsidR="00041F24" w:rsidRDefault="00041F24" w:rsidP="00DC1E2D">
      <w:pPr>
        <w:spacing w:line="276" w:lineRule="auto"/>
        <w:jc w:val="both"/>
        <w:rPr>
          <w:lang w:eastAsia="en-US"/>
        </w:rPr>
      </w:pPr>
      <w:r w:rsidRPr="00C85668">
        <w:rPr>
          <w:lang w:eastAsia="en-US"/>
        </w:rPr>
        <w:t>Kromě uvedených faktorů cenu opce</w:t>
      </w:r>
      <w:r w:rsidR="00C85668">
        <w:rPr>
          <w:lang w:eastAsia="en-US"/>
        </w:rPr>
        <w:t xml:space="preserve"> (i kteréhokoli jiného instrumentu)</w:t>
      </w:r>
      <w:r w:rsidRPr="00C85668">
        <w:rPr>
          <w:lang w:eastAsia="en-US"/>
        </w:rPr>
        <w:t xml:space="preserve"> samozřejmě ovlivňují také tzv. „nekvalifikovatelné faktory“. Mezi ně patří např. psychologické faktory – cena opce se mění, pokud investoři mění svá očekávání. Psychologie trhu může vést k nepředvídatelným situacím na trhu.</w:t>
      </w:r>
      <w:r w:rsidRPr="00C85668">
        <w:rPr>
          <w:rStyle w:val="Znakapoznpodarou"/>
          <w:lang w:eastAsia="en-US"/>
        </w:rPr>
        <w:footnoteReference w:id="109"/>
      </w:r>
    </w:p>
    <w:p w:rsidR="001F3E1C" w:rsidRPr="00C85668" w:rsidRDefault="001F3E1C" w:rsidP="00DC1E2D">
      <w:pPr>
        <w:spacing w:line="276" w:lineRule="auto"/>
        <w:jc w:val="both"/>
        <w:rPr>
          <w:lang w:eastAsia="en-US"/>
        </w:rPr>
      </w:pPr>
    </w:p>
    <w:p w:rsidR="003B0E8F" w:rsidRDefault="003B0E8F" w:rsidP="00E8178B">
      <w:pPr>
        <w:pStyle w:val="Nadpis3"/>
      </w:pPr>
      <w:bookmarkStart w:id="70" w:name="_Toc354393069"/>
      <w:r>
        <w:t>Oceňování opcí</w:t>
      </w:r>
      <w:bookmarkEnd w:id="70"/>
    </w:p>
    <w:p w:rsidR="003B0E8F" w:rsidRDefault="003B0E8F" w:rsidP="00753302">
      <w:pPr>
        <w:spacing w:after="240" w:line="276" w:lineRule="auto"/>
        <w:jc w:val="both"/>
        <w:rPr>
          <w:lang w:eastAsia="en-US"/>
        </w:rPr>
      </w:pPr>
      <w:r>
        <w:rPr>
          <w:lang w:eastAsia="en-US"/>
        </w:rPr>
        <w:t xml:space="preserve">Pro ocenění opcí </w:t>
      </w:r>
      <w:r w:rsidR="000072A8">
        <w:rPr>
          <w:lang w:eastAsia="en-US"/>
        </w:rPr>
        <w:t>bylo vytvořeno mnoho</w:t>
      </w:r>
      <w:r>
        <w:rPr>
          <w:lang w:eastAsia="en-US"/>
        </w:rPr>
        <w:t xml:space="preserve"> modelů oceňování. Nejvýznamnějším</w:t>
      </w:r>
      <w:r w:rsidR="000072A8">
        <w:rPr>
          <w:lang w:eastAsia="en-US"/>
        </w:rPr>
        <w:t xml:space="preserve"> a nejpoužívanějším</w:t>
      </w:r>
      <w:r>
        <w:rPr>
          <w:lang w:eastAsia="en-US"/>
        </w:rPr>
        <w:t xml:space="preserve"> z nich je</w:t>
      </w:r>
      <w:r w:rsidR="000072A8">
        <w:rPr>
          <w:lang w:eastAsia="en-US"/>
        </w:rPr>
        <w:t> </w:t>
      </w:r>
      <w:r>
        <w:rPr>
          <w:lang w:eastAsia="en-US"/>
        </w:rPr>
        <w:t>Black-Scholesův model</w:t>
      </w:r>
      <w:r w:rsidR="00A451A6">
        <w:rPr>
          <w:lang w:eastAsia="en-US"/>
        </w:rPr>
        <w:t>.</w:t>
      </w:r>
      <w:r w:rsidR="000072A8">
        <w:rPr>
          <w:rStyle w:val="Znakapoznpodarou"/>
          <w:lang w:eastAsia="en-US"/>
        </w:rPr>
        <w:footnoteReference w:id="110"/>
      </w:r>
      <w:r w:rsidR="000072A8">
        <w:rPr>
          <w:lang w:eastAsia="en-US"/>
        </w:rPr>
        <w:t xml:space="preserve"> </w:t>
      </w:r>
    </w:p>
    <w:p w:rsidR="00753302" w:rsidRDefault="009B31CC" w:rsidP="00753302">
      <w:pPr>
        <w:spacing w:after="240" w:line="276" w:lineRule="auto"/>
        <w:jc w:val="both"/>
        <w:rPr>
          <w:lang w:eastAsia="en-US"/>
        </w:rPr>
      </w:pPr>
      <w:r>
        <w:rPr>
          <w:lang w:eastAsia="en-US"/>
        </w:rPr>
        <w:t>Black-Scholesův model v současné době existuje v mnoha modifikacích. Základní podoba toho modelu</w:t>
      </w:r>
      <w:r w:rsidR="00386D17">
        <w:rPr>
          <w:lang w:eastAsia="en-US"/>
        </w:rPr>
        <w:t xml:space="preserve"> pro evropské opce na výpočet ceny</w:t>
      </w:r>
      <w:r>
        <w:rPr>
          <w:lang w:eastAsia="en-US"/>
        </w:rPr>
        <w:t xml:space="preserve"> call opce „C“ a put opce „P“ vypadá následovně:</w:t>
      </w:r>
    </w:p>
    <w:p w:rsidR="009B31CC" w:rsidRDefault="009B31CC" w:rsidP="00753302">
      <w:pPr>
        <w:spacing w:after="240" w:line="276" w:lineRule="auto"/>
        <w:jc w:val="both"/>
        <w:rPr>
          <w:lang w:eastAsia="en-US"/>
        </w:rPr>
      </w:pPr>
      <m:oMathPara>
        <m:oMathParaPr>
          <m:jc m:val="center"/>
        </m:oMathParaPr>
        <m:oMath>
          <m:r>
            <w:rPr>
              <w:rFonts w:ascii="Cambria Math" w:hAnsi="Cambria Math"/>
              <w:lang w:eastAsia="en-US"/>
            </w:rPr>
            <m:t>C=S*N</m:t>
          </m:r>
          <m:d>
            <m:dPr>
              <m:ctrlPr>
                <w:rPr>
                  <w:rFonts w:ascii="Cambria Math" w:hAnsi="Cambria Math"/>
                  <w:i/>
                  <w:lang w:eastAsia="en-US"/>
                </w:rPr>
              </m:ctrlPr>
            </m:dPr>
            <m:e>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1</m:t>
                  </m:r>
                </m:sub>
              </m:sSub>
            </m:e>
          </m:d>
          <m:r>
            <w:rPr>
              <w:rFonts w:ascii="Cambria Math" w:hAnsi="Cambria Math"/>
              <w:lang w:eastAsia="en-US"/>
            </w:rPr>
            <m:t>-X*N</m:t>
          </m:r>
          <m:d>
            <m:dPr>
              <m:ctrlPr>
                <w:rPr>
                  <w:rFonts w:ascii="Cambria Math" w:hAnsi="Cambria Math"/>
                  <w:i/>
                  <w:lang w:eastAsia="en-US"/>
                </w:rPr>
              </m:ctrlPr>
            </m:dPr>
            <m:e>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2</m:t>
                  </m:r>
                </m:sub>
              </m:sSub>
            </m:e>
          </m:d>
          <m:r>
            <w:rPr>
              <w:rFonts w:ascii="Cambria Math" w:hAnsi="Cambria Math"/>
              <w:lang w:eastAsia="en-US"/>
            </w:rPr>
            <m:t>*</m:t>
          </m:r>
          <m:sSup>
            <m:sSupPr>
              <m:ctrlPr>
                <w:rPr>
                  <w:rFonts w:ascii="Cambria Math" w:hAnsi="Cambria Math"/>
                  <w:i/>
                  <w:lang w:eastAsia="en-US"/>
                </w:rPr>
              </m:ctrlPr>
            </m:sSupPr>
            <m:e>
              <m:r>
                <w:rPr>
                  <w:rFonts w:ascii="Cambria Math" w:hAnsi="Cambria Math"/>
                  <w:lang w:eastAsia="en-US"/>
                </w:rPr>
                <m:t>e</m:t>
              </m:r>
            </m:e>
            <m:sup>
              <m:r>
                <w:rPr>
                  <w:rFonts w:ascii="Cambria Math" w:hAnsi="Cambria Math"/>
                  <w:lang w:eastAsia="en-US"/>
                </w:rPr>
                <m:t>-r*t</m:t>
              </m:r>
            </m:sup>
          </m:sSup>
        </m:oMath>
      </m:oMathPara>
    </w:p>
    <w:p w:rsidR="003B0E8F" w:rsidRDefault="009B31CC" w:rsidP="009B31CC">
      <w:pPr>
        <w:spacing w:after="240" w:line="276" w:lineRule="auto"/>
        <w:jc w:val="both"/>
        <w:rPr>
          <w:lang w:eastAsia="en-US"/>
        </w:rPr>
      </w:pPr>
      <m:oMathPara>
        <m:oMathParaPr>
          <m:jc m:val="center"/>
        </m:oMathParaPr>
        <m:oMath>
          <m:r>
            <w:rPr>
              <w:rFonts w:ascii="Cambria Math" w:hAnsi="Cambria Math"/>
              <w:lang w:eastAsia="en-US"/>
            </w:rPr>
            <m:t>P=-S*N</m:t>
          </m:r>
          <m:d>
            <m:dPr>
              <m:ctrlPr>
                <w:rPr>
                  <w:rFonts w:ascii="Cambria Math" w:hAnsi="Cambria Math"/>
                  <w:i/>
                  <w:lang w:eastAsia="en-US"/>
                </w:rPr>
              </m:ctrlPr>
            </m:dPr>
            <m:e>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1</m:t>
                  </m:r>
                </m:sub>
              </m:sSub>
            </m:e>
          </m:d>
          <m:r>
            <w:rPr>
              <w:rFonts w:ascii="Cambria Math" w:hAnsi="Cambria Math"/>
              <w:lang w:eastAsia="en-US"/>
            </w:rPr>
            <m:t>+X*N</m:t>
          </m:r>
          <m:d>
            <m:dPr>
              <m:ctrlPr>
                <w:rPr>
                  <w:rFonts w:ascii="Cambria Math" w:hAnsi="Cambria Math"/>
                  <w:i/>
                  <w:lang w:eastAsia="en-US"/>
                </w:rPr>
              </m:ctrlPr>
            </m:dPr>
            <m:e>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2</m:t>
                  </m:r>
                </m:sub>
              </m:sSub>
            </m:e>
          </m:d>
          <m:r>
            <w:rPr>
              <w:rFonts w:ascii="Cambria Math" w:hAnsi="Cambria Math"/>
              <w:lang w:eastAsia="en-US"/>
            </w:rPr>
            <m:t>*</m:t>
          </m:r>
          <m:sSup>
            <m:sSupPr>
              <m:ctrlPr>
                <w:rPr>
                  <w:rFonts w:ascii="Cambria Math" w:hAnsi="Cambria Math"/>
                  <w:i/>
                  <w:lang w:eastAsia="en-US"/>
                </w:rPr>
              </m:ctrlPr>
            </m:sSupPr>
            <m:e>
              <m:r>
                <w:rPr>
                  <w:rFonts w:ascii="Cambria Math" w:hAnsi="Cambria Math"/>
                  <w:lang w:eastAsia="en-US"/>
                </w:rPr>
                <m:t>e</m:t>
              </m:r>
            </m:e>
            <m:sup>
              <m:r>
                <w:rPr>
                  <w:rFonts w:ascii="Cambria Math" w:hAnsi="Cambria Math"/>
                  <w:lang w:eastAsia="en-US"/>
                </w:rPr>
                <m:t>-r*t</m:t>
              </m:r>
            </m:sup>
          </m:sSup>
        </m:oMath>
      </m:oMathPara>
    </w:p>
    <w:p w:rsidR="001F3E1C" w:rsidRDefault="001F3E1C">
      <w:pPr>
        <w:suppressAutoHyphens w:val="0"/>
        <w:spacing w:after="200" w:line="276" w:lineRule="auto"/>
        <w:rPr>
          <w:lang w:eastAsia="en-US"/>
        </w:rPr>
      </w:pPr>
      <w:r>
        <w:rPr>
          <w:lang w:eastAsia="en-US"/>
        </w:rPr>
        <w:br w:type="page"/>
      </w:r>
    </w:p>
    <w:p w:rsidR="009B31CC" w:rsidRDefault="009B31CC" w:rsidP="009B31CC">
      <w:pPr>
        <w:spacing w:after="240" w:line="276" w:lineRule="auto"/>
        <w:jc w:val="both"/>
        <w:rPr>
          <w:lang w:eastAsia="en-US"/>
        </w:rPr>
      </w:pPr>
      <w:r>
        <w:rPr>
          <w:lang w:eastAsia="en-US"/>
        </w:rPr>
        <w:lastRenderedPageBreak/>
        <w:t xml:space="preserve">Koeficienty </w:t>
      </w:r>
      <m:oMath>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1</m:t>
            </m:r>
          </m:sub>
        </m:sSub>
      </m:oMath>
      <w:r>
        <w:rPr>
          <w:lang w:eastAsia="en-US"/>
        </w:rPr>
        <w:t xml:space="preserve"> a </w:t>
      </w:r>
      <m:oMath>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2</m:t>
            </m:r>
          </m:sub>
        </m:sSub>
      </m:oMath>
      <w:r>
        <w:rPr>
          <w:lang w:eastAsia="en-US"/>
        </w:rPr>
        <w:t xml:space="preserve"> lze vypočítat dle následujících vzorců: </w:t>
      </w:r>
    </w:p>
    <w:p w:rsidR="009B31CC" w:rsidRDefault="00FA567C" w:rsidP="009B31CC">
      <w:pPr>
        <w:spacing w:after="240" w:line="276" w:lineRule="auto"/>
        <w:jc w:val="both"/>
        <w:rPr>
          <w:lang w:eastAsia="en-US"/>
        </w:rPr>
      </w:pPr>
      <m:oMathPara>
        <m:oMathParaPr>
          <m:jc m:val="center"/>
        </m:oMathParaPr>
        <m:oMath>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1</m:t>
              </m:r>
            </m:sub>
          </m:sSub>
          <m:r>
            <w:rPr>
              <w:rFonts w:ascii="Cambria Math" w:hAnsi="Cambria Math"/>
              <w:lang w:eastAsia="en-US"/>
            </w:rPr>
            <m:t>=</m:t>
          </m:r>
          <m:f>
            <m:fPr>
              <m:ctrlPr>
                <w:rPr>
                  <w:rFonts w:ascii="Cambria Math" w:hAnsi="Cambria Math"/>
                  <w:i/>
                  <w:lang w:eastAsia="en-US"/>
                </w:rPr>
              </m:ctrlPr>
            </m:fPr>
            <m:num>
              <m:func>
                <m:funcPr>
                  <m:ctrlPr>
                    <w:rPr>
                      <w:rFonts w:ascii="Cambria Math" w:hAnsi="Cambria Math"/>
                      <w:lang w:eastAsia="en-US"/>
                    </w:rPr>
                  </m:ctrlPr>
                </m:funcPr>
                <m:fName>
                  <m:r>
                    <m:rPr>
                      <m:sty m:val="p"/>
                    </m:rPr>
                    <w:rPr>
                      <w:rFonts w:ascii="Cambria Math" w:hAnsi="Cambria Math"/>
                      <w:lang w:eastAsia="en-US"/>
                    </w:rPr>
                    <m:t>ln</m:t>
                  </m:r>
                </m:fName>
                <m:e>
                  <m:d>
                    <m:dPr>
                      <m:ctrlPr>
                        <w:rPr>
                          <w:rFonts w:ascii="Cambria Math" w:hAnsi="Cambria Math"/>
                          <w:i/>
                          <w:lang w:eastAsia="en-US"/>
                        </w:rPr>
                      </m:ctrlPr>
                    </m:dPr>
                    <m:e>
                      <m:f>
                        <m:fPr>
                          <m:ctrlPr>
                            <w:rPr>
                              <w:rFonts w:ascii="Cambria Math" w:hAnsi="Cambria Math"/>
                              <w:i/>
                              <w:lang w:eastAsia="en-US"/>
                            </w:rPr>
                          </m:ctrlPr>
                        </m:fPr>
                        <m:num>
                          <m:r>
                            <w:rPr>
                              <w:rFonts w:ascii="Cambria Math" w:hAnsi="Cambria Math"/>
                              <w:lang w:eastAsia="en-US"/>
                            </w:rPr>
                            <m:t>S</m:t>
                          </m:r>
                        </m:num>
                        <m:den>
                          <m:r>
                            <w:rPr>
                              <w:rFonts w:ascii="Cambria Math" w:hAnsi="Cambria Math"/>
                              <w:lang w:eastAsia="en-US"/>
                            </w:rPr>
                            <m:t>X</m:t>
                          </m:r>
                        </m:den>
                      </m:f>
                    </m:e>
                  </m:d>
                  <m:ctrlPr>
                    <w:rPr>
                      <w:rFonts w:ascii="Cambria Math" w:hAnsi="Cambria Math"/>
                      <w:i/>
                      <w:lang w:eastAsia="en-US"/>
                    </w:rPr>
                  </m:ctrlPr>
                </m:e>
              </m:func>
              <m:r>
                <w:rPr>
                  <w:rFonts w:ascii="Cambria Math" w:hAnsi="Cambria Math"/>
                  <w:lang w:eastAsia="en-US"/>
                </w:rPr>
                <m:t>+</m:t>
              </m:r>
              <m:d>
                <m:dPr>
                  <m:ctrlPr>
                    <w:rPr>
                      <w:rFonts w:ascii="Cambria Math" w:hAnsi="Cambria Math"/>
                      <w:i/>
                      <w:lang w:eastAsia="en-US"/>
                    </w:rPr>
                  </m:ctrlPr>
                </m:dPr>
                <m:e>
                  <m:r>
                    <w:rPr>
                      <w:rFonts w:ascii="Cambria Math" w:hAnsi="Cambria Math"/>
                      <w:lang w:eastAsia="en-US"/>
                    </w:rPr>
                    <m:t>r+</m:t>
                  </m:r>
                  <m:f>
                    <m:fPr>
                      <m:ctrlPr>
                        <w:rPr>
                          <w:rFonts w:ascii="Cambria Math" w:hAnsi="Cambria Math"/>
                          <w:i/>
                          <w:lang w:eastAsia="en-US"/>
                        </w:rPr>
                      </m:ctrlPr>
                    </m:fPr>
                    <m:num>
                      <m:sSup>
                        <m:sSupPr>
                          <m:ctrlPr>
                            <w:rPr>
                              <w:rFonts w:ascii="Cambria Math" w:hAnsi="Cambria Math"/>
                              <w:i/>
                              <w:lang w:eastAsia="en-US"/>
                            </w:rPr>
                          </m:ctrlPr>
                        </m:sSupPr>
                        <m:e>
                          <m:r>
                            <w:rPr>
                              <w:rFonts w:ascii="Cambria Math" w:hAnsi="Cambria Math"/>
                              <w:lang w:eastAsia="en-US"/>
                            </w:rPr>
                            <m:t>σ</m:t>
                          </m:r>
                        </m:e>
                        <m:sup>
                          <m:r>
                            <w:rPr>
                              <w:rFonts w:ascii="Cambria Math" w:hAnsi="Cambria Math"/>
                              <w:lang w:eastAsia="en-US"/>
                            </w:rPr>
                            <m:t>2</m:t>
                          </m:r>
                        </m:sup>
                      </m:sSup>
                    </m:num>
                    <m:den>
                      <m:r>
                        <w:rPr>
                          <w:rFonts w:ascii="Cambria Math" w:hAnsi="Cambria Math"/>
                          <w:lang w:eastAsia="en-US"/>
                        </w:rPr>
                        <m:t>2</m:t>
                      </m:r>
                    </m:den>
                  </m:f>
                </m:e>
              </m:d>
              <m:r>
                <w:rPr>
                  <w:rFonts w:ascii="Cambria Math" w:hAnsi="Cambria Math"/>
                  <w:lang w:eastAsia="en-US"/>
                </w:rPr>
                <m:t>*t</m:t>
              </m:r>
            </m:num>
            <m:den>
              <m:r>
                <w:rPr>
                  <w:rFonts w:ascii="Cambria Math" w:hAnsi="Cambria Math"/>
                  <w:lang w:eastAsia="en-US"/>
                </w:rPr>
                <m:t>σ*</m:t>
              </m:r>
              <m:rad>
                <m:radPr>
                  <m:degHide m:val="on"/>
                  <m:ctrlPr>
                    <w:rPr>
                      <w:rFonts w:ascii="Cambria Math" w:hAnsi="Cambria Math"/>
                      <w:i/>
                      <w:lang w:eastAsia="en-US"/>
                    </w:rPr>
                  </m:ctrlPr>
                </m:radPr>
                <m:deg/>
                <m:e>
                  <m:r>
                    <w:rPr>
                      <w:rFonts w:ascii="Cambria Math" w:hAnsi="Cambria Math"/>
                      <w:lang w:eastAsia="en-US"/>
                    </w:rPr>
                    <m:t>t</m:t>
                  </m:r>
                </m:e>
              </m:rad>
            </m:den>
          </m:f>
        </m:oMath>
      </m:oMathPara>
    </w:p>
    <w:p w:rsidR="009B31CC" w:rsidRDefault="00FA567C" w:rsidP="009B31CC">
      <w:pPr>
        <w:spacing w:after="240" w:line="276" w:lineRule="auto"/>
        <w:jc w:val="both"/>
        <w:rPr>
          <w:lang w:eastAsia="en-US"/>
        </w:rPr>
      </w:pPr>
      <m:oMathPara>
        <m:oMathParaPr>
          <m:jc m:val="center"/>
        </m:oMathParaPr>
        <m:oMath>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2</m:t>
              </m:r>
            </m:sub>
          </m:sSub>
          <m:r>
            <w:rPr>
              <w:rFonts w:ascii="Cambria Math" w:hAnsi="Cambria Math"/>
              <w:lang w:eastAsia="en-US"/>
            </w:rPr>
            <m:t>=</m:t>
          </m:r>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1</m:t>
              </m:r>
            </m:sub>
          </m:sSub>
          <m:r>
            <w:rPr>
              <w:rFonts w:ascii="Cambria Math" w:hAnsi="Cambria Math"/>
              <w:lang w:eastAsia="en-US"/>
            </w:rPr>
            <m:t>-σ*</m:t>
          </m:r>
          <m:rad>
            <m:radPr>
              <m:degHide m:val="on"/>
              <m:ctrlPr>
                <w:rPr>
                  <w:rFonts w:ascii="Cambria Math" w:hAnsi="Cambria Math"/>
                  <w:i/>
                  <w:lang w:eastAsia="en-US"/>
                </w:rPr>
              </m:ctrlPr>
            </m:radPr>
            <m:deg/>
            <m:e>
              <m:r>
                <w:rPr>
                  <w:rFonts w:ascii="Cambria Math" w:hAnsi="Cambria Math"/>
                  <w:lang w:eastAsia="en-US"/>
                </w:rPr>
                <m:t>t</m:t>
              </m:r>
            </m:e>
          </m:rad>
        </m:oMath>
      </m:oMathPara>
    </w:p>
    <w:p w:rsidR="009B31CC" w:rsidRDefault="009B31CC" w:rsidP="009B31CC">
      <w:pPr>
        <w:spacing w:line="276" w:lineRule="auto"/>
        <w:jc w:val="both"/>
        <w:rPr>
          <w:lang w:eastAsia="en-US"/>
        </w:rPr>
      </w:pPr>
      <w:r>
        <w:rPr>
          <w:lang w:eastAsia="en-US"/>
        </w:rPr>
        <w:t xml:space="preserve">Kde: </w:t>
      </w:r>
    </w:p>
    <w:p w:rsidR="009B31CC" w:rsidRDefault="009B31CC" w:rsidP="009B31CC">
      <w:pPr>
        <w:spacing w:line="276" w:lineRule="auto"/>
        <w:jc w:val="both"/>
        <w:rPr>
          <w:lang w:eastAsia="en-US"/>
        </w:rPr>
      </w:pPr>
      <w:r>
        <w:rPr>
          <w:lang w:eastAsia="en-US"/>
        </w:rPr>
        <w:tab/>
      </w:r>
      <w:r w:rsidRPr="000072A8">
        <w:rPr>
          <w:i/>
          <w:lang w:eastAsia="en-US"/>
        </w:rPr>
        <w:t>C</w:t>
      </w:r>
      <w:r>
        <w:rPr>
          <w:lang w:eastAsia="en-US"/>
        </w:rPr>
        <w:t xml:space="preserve"> je hodnota kupní (call) opce</w:t>
      </w:r>
    </w:p>
    <w:p w:rsidR="009B31CC" w:rsidRDefault="009B31CC" w:rsidP="009B31CC">
      <w:pPr>
        <w:spacing w:line="276" w:lineRule="auto"/>
        <w:jc w:val="both"/>
        <w:rPr>
          <w:lang w:eastAsia="en-US"/>
        </w:rPr>
      </w:pPr>
      <w:r>
        <w:rPr>
          <w:lang w:eastAsia="en-US"/>
        </w:rPr>
        <w:tab/>
      </w:r>
      <w:r w:rsidRPr="000072A8">
        <w:rPr>
          <w:i/>
          <w:lang w:eastAsia="en-US"/>
        </w:rPr>
        <w:t>P</w:t>
      </w:r>
      <w:r>
        <w:rPr>
          <w:lang w:eastAsia="en-US"/>
        </w:rPr>
        <w:t xml:space="preserve"> je hodnota prodejní (put) opce</w:t>
      </w:r>
    </w:p>
    <w:p w:rsidR="009B31CC" w:rsidRDefault="009B31CC" w:rsidP="009B31CC">
      <w:pPr>
        <w:spacing w:line="276" w:lineRule="auto"/>
        <w:jc w:val="both"/>
        <w:rPr>
          <w:lang w:eastAsia="en-US"/>
        </w:rPr>
      </w:pPr>
      <w:r>
        <w:rPr>
          <w:lang w:eastAsia="en-US"/>
        </w:rPr>
        <w:tab/>
      </w:r>
      <w:r w:rsidRPr="000072A8">
        <w:rPr>
          <w:i/>
          <w:lang w:eastAsia="en-US"/>
        </w:rPr>
        <w:t>S</w:t>
      </w:r>
      <w:r>
        <w:rPr>
          <w:lang w:eastAsia="en-US"/>
        </w:rPr>
        <w:t> je spotová cena podkladového aktiva</w:t>
      </w:r>
    </w:p>
    <w:p w:rsidR="009B31CC" w:rsidRDefault="009B31CC" w:rsidP="009B31CC">
      <w:pPr>
        <w:spacing w:line="276" w:lineRule="auto"/>
        <w:jc w:val="both"/>
        <w:rPr>
          <w:lang w:eastAsia="en-US"/>
        </w:rPr>
      </w:pPr>
      <w:r>
        <w:rPr>
          <w:lang w:eastAsia="en-US"/>
        </w:rPr>
        <w:tab/>
      </w:r>
      <w:r w:rsidRPr="000072A8">
        <w:rPr>
          <w:i/>
          <w:lang w:eastAsia="en-US"/>
        </w:rPr>
        <w:t>X</w:t>
      </w:r>
      <w:r>
        <w:rPr>
          <w:lang w:eastAsia="en-US"/>
        </w:rPr>
        <w:t xml:space="preserve"> je realizační cena</w:t>
      </w:r>
    </w:p>
    <w:p w:rsidR="009B31CC" w:rsidRDefault="009B31CC" w:rsidP="009B31CC">
      <w:pPr>
        <w:spacing w:line="276" w:lineRule="auto"/>
        <w:jc w:val="both"/>
        <w:rPr>
          <w:lang w:eastAsia="en-US"/>
        </w:rPr>
      </w:pPr>
      <w:r>
        <w:rPr>
          <w:lang w:eastAsia="en-US"/>
        </w:rPr>
        <w:tab/>
      </w:r>
      <m:oMath>
        <m:r>
          <w:rPr>
            <w:rFonts w:ascii="Cambria Math" w:hAnsi="Cambria Math"/>
            <w:lang w:eastAsia="en-US"/>
          </w:rPr>
          <m:t>N</m:t>
        </m:r>
        <m:d>
          <m:dPr>
            <m:ctrlPr>
              <w:rPr>
                <w:rFonts w:ascii="Cambria Math" w:hAnsi="Cambria Math"/>
                <w:i/>
                <w:lang w:eastAsia="en-US"/>
              </w:rPr>
            </m:ctrlPr>
          </m:dPr>
          <m:e>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1</m:t>
                </m:r>
              </m:sub>
            </m:sSub>
          </m:e>
        </m:d>
      </m:oMath>
      <w:r>
        <w:rPr>
          <w:lang w:eastAsia="en-US"/>
        </w:rPr>
        <w:t xml:space="preserve">, </w:t>
      </w:r>
      <m:oMath>
        <m:r>
          <w:rPr>
            <w:rFonts w:ascii="Cambria Math" w:hAnsi="Cambria Math"/>
            <w:lang w:eastAsia="en-US"/>
          </w:rPr>
          <m:t>N</m:t>
        </m:r>
        <m:d>
          <m:dPr>
            <m:ctrlPr>
              <w:rPr>
                <w:rFonts w:ascii="Cambria Math" w:hAnsi="Cambria Math"/>
                <w:i/>
                <w:lang w:eastAsia="en-US"/>
              </w:rPr>
            </m:ctrlPr>
          </m:dPr>
          <m:e>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2</m:t>
                </m:r>
              </m:sub>
            </m:sSub>
          </m:e>
        </m:d>
      </m:oMath>
      <w:r>
        <w:rPr>
          <w:lang w:eastAsia="en-US"/>
        </w:rPr>
        <w:t xml:space="preserve"> jsou hodnoty distribuční funkce normálního rozložení pro </w:t>
      </w:r>
      <m:oMath>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1</m:t>
            </m:r>
          </m:sub>
        </m:sSub>
      </m:oMath>
      <w:r>
        <w:rPr>
          <w:lang w:eastAsia="en-US"/>
        </w:rPr>
        <w:t xml:space="preserve"> a </w:t>
      </w:r>
      <m:oMath>
        <m:sSub>
          <m:sSubPr>
            <m:ctrlPr>
              <w:rPr>
                <w:rFonts w:ascii="Cambria Math" w:hAnsi="Cambria Math"/>
                <w:i/>
                <w:lang w:eastAsia="en-US"/>
              </w:rPr>
            </m:ctrlPr>
          </m:sSubPr>
          <m:e>
            <m:r>
              <w:rPr>
                <w:rFonts w:ascii="Cambria Math" w:hAnsi="Cambria Math"/>
                <w:lang w:eastAsia="en-US"/>
              </w:rPr>
              <m:t>d</m:t>
            </m:r>
          </m:e>
          <m:sub>
            <m:r>
              <w:rPr>
                <w:rFonts w:ascii="Cambria Math" w:hAnsi="Cambria Math"/>
                <w:lang w:eastAsia="en-US"/>
              </w:rPr>
              <m:t>2</m:t>
            </m:r>
          </m:sub>
        </m:sSub>
      </m:oMath>
    </w:p>
    <w:p w:rsidR="009B31CC" w:rsidRDefault="009B31CC" w:rsidP="009B31CC">
      <w:pPr>
        <w:spacing w:line="276" w:lineRule="auto"/>
        <w:jc w:val="both"/>
        <w:rPr>
          <w:lang w:eastAsia="en-US"/>
        </w:rPr>
      </w:pPr>
      <w:r>
        <w:rPr>
          <w:lang w:eastAsia="en-US"/>
        </w:rPr>
        <w:tab/>
      </w:r>
      <w:r w:rsidRPr="000072A8">
        <w:rPr>
          <w:i/>
          <w:lang w:eastAsia="en-US"/>
        </w:rPr>
        <w:t>r</w:t>
      </w:r>
      <w:r>
        <w:rPr>
          <w:lang w:eastAsia="en-US"/>
        </w:rPr>
        <w:t xml:space="preserve"> je bezriziková úroková míra</w:t>
      </w:r>
    </w:p>
    <w:p w:rsidR="009B31CC" w:rsidRDefault="009B31CC" w:rsidP="009B31CC">
      <w:pPr>
        <w:spacing w:line="276" w:lineRule="auto"/>
        <w:jc w:val="both"/>
        <w:rPr>
          <w:lang w:eastAsia="en-US"/>
        </w:rPr>
      </w:pPr>
      <w:r>
        <w:rPr>
          <w:lang w:eastAsia="en-US"/>
        </w:rPr>
        <w:tab/>
      </w:r>
      <m:oMath>
        <m:r>
          <w:rPr>
            <w:rFonts w:ascii="Cambria Math" w:hAnsi="Cambria Math"/>
            <w:lang w:eastAsia="en-US"/>
          </w:rPr>
          <m:t>σ</m:t>
        </m:r>
      </m:oMath>
      <w:r>
        <w:rPr>
          <w:lang w:eastAsia="en-US"/>
        </w:rPr>
        <w:t xml:space="preserve"> je očekávaná volatilita ceny podkladového aktiva</w:t>
      </w:r>
    </w:p>
    <w:p w:rsidR="009B31CC" w:rsidRDefault="009B31CC" w:rsidP="009B31CC">
      <w:pPr>
        <w:spacing w:line="276" w:lineRule="auto"/>
        <w:jc w:val="both"/>
        <w:rPr>
          <w:lang w:eastAsia="en-US"/>
        </w:rPr>
      </w:pPr>
      <w:r>
        <w:rPr>
          <w:lang w:eastAsia="en-US"/>
        </w:rPr>
        <w:tab/>
      </w:r>
      <w:r w:rsidRPr="000072A8">
        <w:rPr>
          <w:i/>
          <w:lang w:eastAsia="en-US"/>
        </w:rPr>
        <w:t>t</w:t>
      </w:r>
      <w:r>
        <w:rPr>
          <w:lang w:eastAsia="en-US"/>
        </w:rPr>
        <w:t xml:space="preserve"> je doba do splatnosti opce</w:t>
      </w:r>
    </w:p>
    <w:p w:rsidR="009B31CC" w:rsidRDefault="009B31CC" w:rsidP="009B31CC">
      <w:pPr>
        <w:spacing w:line="276" w:lineRule="auto"/>
        <w:jc w:val="both"/>
        <w:rPr>
          <w:lang w:eastAsia="en-US"/>
        </w:rPr>
      </w:pPr>
    </w:p>
    <w:p w:rsidR="00386D17" w:rsidRPr="00D6513E" w:rsidRDefault="00386D17" w:rsidP="009B31CC">
      <w:pPr>
        <w:spacing w:line="276" w:lineRule="auto"/>
        <w:jc w:val="both"/>
        <w:rPr>
          <w:lang w:eastAsia="en-US"/>
        </w:rPr>
      </w:pPr>
      <w:r w:rsidRPr="00D6513E">
        <w:rPr>
          <w:lang w:eastAsia="en-US"/>
        </w:rPr>
        <w:t>Black-Scholesův model předpokládá ideální podmínky trhu, kterými jsou</w:t>
      </w:r>
      <w:r w:rsidRPr="00D6513E">
        <w:rPr>
          <w:rStyle w:val="Znakapoznpodarou"/>
          <w:lang w:eastAsia="en-US"/>
        </w:rPr>
        <w:footnoteReference w:id="111"/>
      </w:r>
      <w:r w:rsidR="00515EDE">
        <w:rPr>
          <w:lang w:eastAsia="en-US"/>
        </w:rPr>
        <w:t>:</w:t>
      </w:r>
    </w:p>
    <w:p w:rsidR="00D6513E" w:rsidRPr="00D6513E" w:rsidRDefault="00D6513E" w:rsidP="00D6513E">
      <w:pPr>
        <w:pStyle w:val="Odstavecseseznamem"/>
        <w:numPr>
          <w:ilvl w:val="0"/>
          <w:numId w:val="20"/>
        </w:numPr>
        <w:spacing w:after="240"/>
        <w:jc w:val="both"/>
        <w:rPr>
          <w:rFonts w:ascii="Times New Roman" w:hAnsi="Times New Roman" w:cs="Times New Roman"/>
          <w:sz w:val="24"/>
          <w:szCs w:val="24"/>
        </w:rPr>
      </w:pPr>
      <w:r w:rsidRPr="00D6513E">
        <w:rPr>
          <w:rFonts w:ascii="Times New Roman" w:hAnsi="Times New Roman" w:cs="Times New Roman"/>
          <w:sz w:val="24"/>
          <w:szCs w:val="24"/>
        </w:rPr>
        <w:t>Krátkodobá úroková míra je známá a konstantní.</w:t>
      </w:r>
    </w:p>
    <w:p w:rsidR="00D6513E" w:rsidRPr="00D6513E" w:rsidRDefault="00D6513E" w:rsidP="00D6513E">
      <w:pPr>
        <w:pStyle w:val="Odstavecseseznamem"/>
        <w:numPr>
          <w:ilvl w:val="0"/>
          <w:numId w:val="20"/>
        </w:numPr>
        <w:spacing w:after="240"/>
        <w:jc w:val="both"/>
        <w:rPr>
          <w:rFonts w:ascii="Times New Roman" w:hAnsi="Times New Roman" w:cs="Times New Roman"/>
          <w:sz w:val="24"/>
          <w:szCs w:val="24"/>
        </w:rPr>
      </w:pPr>
      <w:r w:rsidRPr="00D6513E">
        <w:rPr>
          <w:rFonts w:ascii="Times New Roman" w:hAnsi="Times New Roman" w:cs="Times New Roman"/>
          <w:sz w:val="24"/>
          <w:szCs w:val="24"/>
        </w:rPr>
        <w:t>Pokud jsou podkladovým aktivem akcie, nedochází k výplatě dividend.</w:t>
      </w:r>
    </w:p>
    <w:p w:rsidR="00D6513E" w:rsidRPr="00D6513E" w:rsidRDefault="00D6513E" w:rsidP="00D6513E">
      <w:pPr>
        <w:pStyle w:val="Odstavecseseznamem"/>
        <w:numPr>
          <w:ilvl w:val="0"/>
          <w:numId w:val="20"/>
        </w:numPr>
        <w:spacing w:after="240"/>
        <w:jc w:val="both"/>
        <w:rPr>
          <w:rFonts w:ascii="Times New Roman" w:hAnsi="Times New Roman" w:cs="Times New Roman"/>
          <w:sz w:val="24"/>
          <w:szCs w:val="24"/>
        </w:rPr>
      </w:pPr>
      <w:r w:rsidRPr="00D6513E">
        <w:rPr>
          <w:rFonts w:ascii="Times New Roman" w:hAnsi="Times New Roman" w:cs="Times New Roman"/>
          <w:sz w:val="24"/>
          <w:szCs w:val="24"/>
        </w:rPr>
        <w:t>Transa</w:t>
      </w:r>
      <w:r w:rsidR="000F72BE">
        <w:rPr>
          <w:rFonts w:ascii="Times New Roman" w:hAnsi="Times New Roman" w:cs="Times New Roman"/>
          <w:sz w:val="24"/>
          <w:szCs w:val="24"/>
        </w:rPr>
        <w:t>kč</w:t>
      </w:r>
      <w:r w:rsidRPr="00D6513E">
        <w:rPr>
          <w:rFonts w:ascii="Times New Roman" w:hAnsi="Times New Roman" w:cs="Times New Roman"/>
          <w:sz w:val="24"/>
          <w:szCs w:val="24"/>
        </w:rPr>
        <w:t xml:space="preserve">ní náklady jsou nulové, stejně tak daně. </w:t>
      </w:r>
    </w:p>
    <w:p w:rsidR="00D6513E" w:rsidRPr="00D6513E" w:rsidRDefault="00D6513E" w:rsidP="00D6513E">
      <w:pPr>
        <w:pStyle w:val="Odstavecseseznamem"/>
        <w:numPr>
          <w:ilvl w:val="0"/>
          <w:numId w:val="20"/>
        </w:numPr>
        <w:spacing w:after="240"/>
        <w:jc w:val="both"/>
        <w:rPr>
          <w:rFonts w:ascii="Times New Roman" w:hAnsi="Times New Roman" w:cs="Times New Roman"/>
          <w:sz w:val="24"/>
          <w:szCs w:val="24"/>
        </w:rPr>
      </w:pPr>
      <w:r w:rsidRPr="00D6513E">
        <w:rPr>
          <w:rFonts w:ascii="Times New Roman" w:hAnsi="Times New Roman" w:cs="Times New Roman"/>
          <w:sz w:val="24"/>
          <w:szCs w:val="24"/>
        </w:rPr>
        <w:t xml:space="preserve">Podkladové aktivum je dokonale likvidní, obchodování je kontinuální. Lze tedy kdykoli určit spotovou cenu. </w:t>
      </w:r>
    </w:p>
    <w:p w:rsidR="00D6513E" w:rsidRPr="00D6513E" w:rsidRDefault="00D6513E" w:rsidP="00D6513E">
      <w:pPr>
        <w:pStyle w:val="Odstavecseseznamem"/>
        <w:numPr>
          <w:ilvl w:val="0"/>
          <w:numId w:val="20"/>
        </w:numPr>
        <w:spacing w:after="240"/>
        <w:jc w:val="both"/>
        <w:rPr>
          <w:rFonts w:ascii="Times New Roman" w:hAnsi="Times New Roman" w:cs="Times New Roman"/>
          <w:sz w:val="24"/>
          <w:szCs w:val="24"/>
        </w:rPr>
      </w:pPr>
      <w:r w:rsidRPr="00D6513E">
        <w:rPr>
          <w:rFonts w:ascii="Times New Roman" w:hAnsi="Times New Roman" w:cs="Times New Roman"/>
          <w:sz w:val="24"/>
          <w:szCs w:val="24"/>
        </w:rPr>
        <w:t>Je dovolen krátký prodej.</w:t>
      </w:r>
    </w:p>
    <w:p w:rsidR="00D6513E" w:rsidRPr="00D6513E" w:rsidRDefault="00D6513E" w:rsidP="00D6513E">
      <w:pPr>
        <w:pStyle w:val="Odstavecseseznamem"/>
        <w:numPr>
          <w:ilvl w:val="0"/>
          <w:numId w:val="20"/>
        </w:numPr>
        <w:spacing w:after="240"/>
        <w:jc w:val="both"/>
        <w:rPr>
          <w:rFonts w:ascii="Times New Roman" w:hAnsi="Times New Roman" w:cs="Times New Roman"/>
          <w:sz w:val="24"/>
          <w:szCs w:val="24"/>
        </w:rPr>
      </w:pPr>
      <w:r w:rsidRPr="00D6513E">
        <w:rPr>
          <w:rFonts w:ascii="Times New Roman" w:hAnsi="Times New Roman" w:cs="Times New Roman"/>
          <w:sz w:val="24"/>
          <w:szCs w:val="24"/>
        </w:rPr>
        <w:t>Lze si zapůjčit hotovost bez omezení za konstantní úrokovou míru.</w:t>
      </w:r>
    </w:p>
    <w:p w:rsidR="00D6513E" w:rsidRPr="00D6513E" w:rsidRDefault="00D6513E" w:rsidP="00D6513E">
      <w:pPr>
        <w:pStyle w:val="Odstavecseseznamem"/>
        <w:numPr>
          <w:ilvl w:val="0"/>
          <w:numId w:val="20"/>
        </w:numPr>
        <w:spacing w:after="240"/>
        <w:jc w:val="both"/>
        <w:rPr>
          <w:rFonts w:ascii="Times New Roman" w:hAnsi="Times New Roman" w:cs="Times New Roman"/>
          <w:sz w:val="24"/>
          <w:szCs w:val="24"/>
        </w:rPr>
      </w:pPr>
      <w:r w:rsidRPr="00D6513E">
        <w:rPr>
          <w:rFonts w:ascii="Times New Roman" w:hAnsi="Times New Roman" w:cs="Times New Roman"/>
          <w:sz w:val="24"/>
          <w:szCs w:val="24"/>
        </w:rPr>
        <w:t>Volatilita podkladového aktiva je konstantní.</w:t>
      </w:r>
    </w:p>
    <w:p w:rsidR="00D6513E" w:rsidRPr="00D6513E" w:rsidRDefault="00D6513E" w:rsidP="00D6513E">
      <w:pPr>
        <w:pStyle w:val="Odstavecseseznamem"/>
        <w:numPr>
          <w:ilvl w:val="0"/>
          <w:numId w:val="20"/>
        </w:numPr>
        <w:spacing w:after="240"/>
        <w:jc w:val="both"/>
        <w:rPr>
          <w:rFonts w:ascii="Times New Roman" w:hAnsi="Times New Roman" w:cs="Times New Roman"/>
          <w:sz w:val="24"/>
          <w:szCs w:val="24"/>
        </w:rPr>
      </w:pPr>
      <w:r w:rsidRPr="00D6513E">
        <w:rPr>
          <w:rFonts w:ascii="Times New Roman" w:hAnsi="Times New Roman" w:cs="Times New Roman"/>
          <w:sz w:val="24"/>
          <w:szCs w:val="24"/>
        </w:rPr>
        <w:t xml:space="preserve">Aktiva jsou dokonale dělitelná. </w:t>
      </w:r>
    </w:p>
    <w:p w:rsidR="00D6513E" w:rsidRDefault="00D6513E" w:rsidP="00F62036">
      <w:pPr>
        <w:pStyle w:val="Odstavecseseznamem"/>
        <w:numPr>
          <w:ilvl w:val="0"/>
          <w:numId w:val="20"/>
        </w:numPr>
        <w:jc w:val="both"/>
        <w:rPr>
          <w:rFonts w:ascii="Times New Roman" w:hAnsi="Times New Roman" w:cs="Times New Roman"/>
          <w:sz w:val="24"/>
          <w:szCs w:val="24"/>
        </w:rPr>
      </w:pPr>
      <w:r w:rsidRPr="00D6513E">
        <w:rPr>
          <w:rFonts w:ascii="Times New Roman" w:hAnsi="Times New Roman" w:cs="Times New Roman"/>
          <w:sz w:val="24"/>
          <w:szCs w:val="24"/>
        </w:rPr>
        <w:t>Na trhu není příležitost k realizaci arbitráže.</w:t>
      </w:r>
    </w:p>
    <w:p w:rsidR="00D6513E" w:rsidRDefault="00F62036" w:rsidP="00F62036">
      <w:pPr>
        <w:spacing w:line="276" w:lineRule="auto"/>
        <w:jc w:val="both"/>
      </w:pPr>
      <w:r>
        <w:t xml:space="preserve">Přestože Black-Scholesův model oceňování opcí slouží k oceňování evropských opcí, lze jej použít také k oceňování opcí amerických. Jak bylo výše </w:t>
      </w:r>
      <w:r w:rsidR="00B27844">
        <w:t>uvedeno</w:t>
      </w:r>
      <w:r>
        <w:t>, uplat</w:t>
      </w:r>
      <w:r w:rsidR="00B27844">
        <w:t>n</w:t>
      </w:r>
      <w:r>
        <w:t>it americkou opci před její splatností je ve většině případů nerozumné</w:t>
      </w:r>
      <w:r w:rsidR="00B27844">
        <w:t>. Protože neexistuje důvod opci uplatnit před jejím vypršením, lze americkou opci chápat jako opci evropskou a oceňovat ji dle uvedeného modelu.</w:t>
      </w:r>
      <w:r w:rsidR="00B27844">
        <w:rPr>
          <w:rStyle w:val="Znakapoznpodarou"/>
        </w:rPr>
        <w:footnoteReference w:id="112"/>
      </w:r>
    </w:p>
    <w:p w:rsidR="00F62036" w:rsidRDefault="00F62036" w:rsidP="00F62036">
      <w:pPr>
        <w:spacing w:line="276" w:lineRule="auto"/>
        <w:jc w:val="both"/>
      </w:pPr>
    </w:p>
    <w:p w:rsidR="00E8178B" w:rsidRDefault="00E8178B" w:rsidP="00030734">
      <w:pPr>
        <w:spacing w:after="240" w:line="276" w:lineRule="auto"/>
        <w:jc w:val="both"/>
      </w:pPr>
    </w:p>
    <w:p w:rsidR="00983150" w:rsidRPr="003E2772" w:rsidRDefault="00983150" w:rsidP="00030734">
      <w:pPr>
        <w:pStyle w:val="Nadpis2"/>
      </w:pPr>
      <w:bookmarkStart w:id="71" w:name="_Toc350268269"/>
      <w:bookmarkStart w:id="72" w:name="_Toc354393070"/>
      <w:r w:rsidRPr="003E2772">
        <w:lastRenderedPageBreak/>
        <w:t>Úrokové opce</w:t>
      </w:r>
      <w:bookmarkEnd w:id="71"/>
      <w:bookmarkEnd w:id="72"/>
    </w:p>
    <w:p w:rsidR="006625B4" w:rsidRDefault="00983150" w:rsidP="00983150">
      <w:pPr>
        <w:spacing w:after="240" w:line="276" w:lineRule="auto"/>
        <w:jc w:val="both"/>
      </w:pPr>
      <w:r w:rsidRPr="003E2772">
        <w:t>Úroková opce je opce na výměnu pevné částky hotovosti v jedné měně za dosud neznámou částku hotovosti</w:t>
      </w:r>
      <w:r w:rsidR="006C391C">
        <w:t xml:space="preserve"> ve stejné měně</w:t>
      </w:r>
      <w:r w:rsidR="006625B4">
        <w:t>.</w:t>
      </w:r>
      <w:r w:rsidRPr="003E2772">
        <w:t xml:space="preserve"> </w:t>
      </w:r>
      <w:r w:rsidR="006625B4">
        <w:t>Kromě neznámé částky hotovosti se může jednat o úvěr, půjčku hotovosti, dluhový cenný papír či pohledávku.</w:t>
      </w:r>
      <w:r w:rsidR="006625B4" w:rsidRPr="003E2772">
        <w:rPr>
          <w:rStyle w:val="Znakapoznpodarou"/>
          <w:rFonts w:eastAsiaTheme="majorEastAsia"/>
          <w:b/>
        </w:rPr>
        <w:footnoteReference w:id="113"/>
      </w:r>
      <w:r w:rsidR="00AE27C1">
        <w:t xml:space="preserve"> Úrokovými opcemi mohou být rovněž opce, jejichž podkladovým aktivem jsou futures na úrokové míry či dluhopisy.</w:t>
      </w:r>
    </w:p>
    <w:p w:rsidR="00983150" w:rsidRPr="003E2772" w:rsidRDefault="00B6209E" w:rsidP="00983150">
      <w:pPr>
        <w:spacing w:after="240" w:line="276" w:lineRule="auto"/>
        <w:jc w:val="both"/>
      </w:pPr>
      <w:r>
        <w:t xml:space="preserve">Opce obchodované na OTC trzích </w:t>
      </w:r>
      <w:r w:rsidR="00515EDE">
        <w:t>lze rozdělit</w:t>
      </w:r>
      <w:r>
        <w:t xml:space="preserve">, </w:t>
      </w:r>
      <w:r w:rsidR="00983150" w:rsidRPr="003E2772">
        <w:t>obdobně jako úrokové forwardy</w:t>
      </w:r>
      <w:r w:rsidR="006625B4">
        <w:t>,</w:t>
      </w:r>
      <w:r w:rsidR="00515EDE">
        <w:t xml:space="preserve"> </w:t>
      </w:r>
      <w:r w:rsidR="00983150" w:rsidRPr="003E2772">
        <w:t>na opce na</w:t>
      </w:r>
      <w:r w:rsidR="00515EDE">
        <w:t> </w:t>
      </w:r>
      <w:r w:rsidR="00983150" w:rsidRPr="003E2772">
        <w:t>koupi či prodej dohody o forwardové úrokové míře, opce na přijetí či poskytnutí termínového vkladu, úvěru či půjčky hotovosti a opce na koupi či podej dluhového cenného papíru či pohledávky.</w:t>
      </w:r>
      <w:r>
        <w:t xml:space="preserve"> Jednotlivé varianty se od sebe opět liší způsob</w:t>
      </w:r>
      <w:r w:rsidR="00C85668">
        <w:t>em</w:t>
      </w:r>
      <w:r>
        <w:t xml:space="preserve"> vypořádání – u opce na koupi či prodej dohody o forwardové úrokové míře dochází k čistému vypořádání, u</w:t>
      </w:r>
      <w:r w:rsidR="00C85668">
        <w:t> </w:t>
      </w:r>
      <w:r>
        <w:t>ostatních variant dochází naopak k hrubému vypořádání.</w:t>
      </w:r>
      <w:r w:rsidR="00983150" w:rsidRPr="003E2772">
        <w:rPr>
          <w:rStyle w:val="Znakapoznpodarou"/>
          <w:rFonts w:eastAsiaTheme="majorEastAsia"/>
        </w:rPr>
        <w:footnoteReference w:id="114"/>
      </w:r>
    </w:p>
    <w:p w:rsidR="00983150" w:rsidRDefault="00983150" w:rsidP="00983150">
      <w:pPr>
        <w:spacing w:after="240" w:line="276" w:lineRule="auto"/>
        <w:jc w:val="both"/>
      </w:pPr>
      <w:r w:rsidRPr="003E2772">
        <w:t>V případě koupené opce na koupi dohody o forwardové úrokové míře obdrží majitel opce při</w:t>
      </w:r>
      <w:r w:rsidR="00C85668">
        <w:t> </w:t>
      </w:r>
      <w:r w:rsidRPr="003E2772">
        <w:t xml:space="preserve">splatnosti či během splatnosti částku </w:t>
      </w:r>
      <w:r w:rsidR="00515EDE">
        <w:t>rovnající se</w:t>
      </w:r>
      <w:r w:rsidRPr="003E2772">
        <w:t xml:space="preserve"> rozdílu budoucí spotové úrokové míry a</w:t>
      </w:r>
      <w:r w:rsidR="001F45AB">
        <w:t> </w:t>
      </w:r>
      <w:r w:rsidRPr="003E2772">
        <w:t>stanovené termínové úrokové míry.</w:t>
      </w:r>
      <w:r w:rsidR="001F45AB">
        <w:t xml:space="preserve"> </w:t>
      </w:r>
      <w:r w:rsidR="00515EDE">
        <w:t>Naopak nákup</w:t>
      </w:r>
      <w:r w:rsidRPr="003E2772">
        <w:t xml:space="preserve"> opce na prodej dohody o forwardové úrokové míře opravňuje majitele opce inkasovat rozdíl termínové úrokové míry a budoucí spotové úrokové míry.</w:t>
      </w:r>
    </w:p>
    <w:p w:rsidR="00AE27C1" w:rsidRDefault="00AE27C1" w:rsidP="00983150">
      <w:pPr>
        <w:spacing w:after="240" w:line="276" w:lineRule="auto"/>
        <w:jc w:val="both"/>
      </w:pPr>
      <w:r>
        <w:t>Oceňování těchto opcí je poměrně komplikované, jelikož nesplňují základní požadavky Black-Scholesova modelu, kterými jsou konstantní úrokové míry.</w:t>
      </w:r>
      <w:r>
        <w:rPr>
          <w:rStyle w:val="Znakapoznpodarou"/>
        </w:rPr>
        <w:footnoteReference w:id="115"/>
      </w:r>
    </w:p>
    <w:p w:rsidR="002C2905" w:rsidRDefault="00AE27C1" w:rsidP="00B74AED">
      <w:pPr>
        <w:suppressAutoHyphens w:val="0"/>
        <w:spacing w:after="200" w:line="276" w:lineRule="auto"/>
      </w:pPr>
      <w:r>
        <w:t xml:space="preserve">Mezi speciální druh úrokových opcí patří cap, floor a collar. </w:t>
      </w:r>
    </w:p>
    <w:p w:rsidR="00AE27C1" w:rsidRDefault="002C2905" w:rsidP="00983150">
      <w:pPr>
        <w:spacing w:after="240" w:line="276" w:lineRule="auto"/>
        <w:jc w:val="both"/>
      </w:pPr>
      <w:r>
        <w:t>Cap je tvořen řadou ku</w:t>
      </w:r>
      <w:r w:rsidR="00C85668">
        <w:t>pních opcí na úrokovou míru. P</w:t>
      </w:r>
      <w:r>
        <w:t>ředstavuje dohodu mezi stranami obchodu, která</w:t>
      </w:r>
      <w:r w:rsidR="00515EDE">
        <w:t xml:space="preserve"> tvrdí, že pokud</w:t>
      </w:r>
      <w:r w:rsidR="000457D8">
        <w:t xml:space="preserve"> ref</w:t>
      </w:r>
      <w:r w:rsidR="00515EDE">
        <w:t>erenční úroková sazba v rozhodný</w:t>
      </w:r>
      <w:r w:rsidR="000457D8">
        <w:t xml:space="preserve"> den </w:t>
      </w:r>
      <w:r w:rsidR="00515EDE">
        <w:t xml:space="preserve">převýší </w:t>
      </w:r>
      <w:r w:rsidR="000457D8">
        <w:t xml:space="preserve">stanovenou maximální hranici, pak uhradí prodávající kupujícímu cap rozdíl mezi těmito dvěma úrokovými sazbami. Prodávající platí pouze úrokový rozdíl, vztahující se k určené nominální hodnotě a časovému úseku. Kupující se sjednáním cap zajišťuje </w:t>
      </w:r>
      <w:r w:rsidR="00515EDE">
        <w:t xml:space="preserve">proti </w:t>
      </w:r>
      <w:r w:rsidR="000457D8">
        <w:t>možné</w:t>
      </w:r>
      <w:r w:rsidR="00515EDE">
        <w:t>mu</w:t>
      </w:r>
      <w:r w:rsidR="000457D8">
        <w:t xml:space="preserve"> zvýšení úrokových sazeb. V případě, že bude referenční úroková sazba pod stanovenou hranicí cap, nedochází k žádné </w:t>
      </w:r>
      <w:r w:rsidR="00FD6293">
        <w:t>platbě.</w:t>
      </w:r>
      <w:r w:rsidR="000457D8">
        <w:t xml:space="preserve"> </w:t>
      </w:r>
    </w:p>
    <w:p w:rsidR="00DC1E2D" w:rsidRDefault="00DC1E2D" w:rsidP="00983150">
      <w:pPr>
        <w:spacing w:after="240" w:line="276" w:lineRule="auto"/>
        <w:jc w:val="both"/>
      </w:pPr>
    </w:p>
    <w:p w:rsidR="000457D8" w:rsidRPr="000457D8" w:rsidRDefault="000457D8" w:rsidP="000457D8">
      <w:pPr>
        <w:pStyle w:val="Titulek"/>
        <w:keepNext/>
        <w:spacing w:line="276" w:lineRule="auto"/>
        <w:jc w:val="both"/>
        <w:rPr>
          <w:rFonts w:ascii="Times New Roman" w:hAnsi="Times New Roman" w:cs="Times New Roman"/>
          <w:b w:val="0"/>
          <w:color w:val="auto"/>
          <w:sz w:val="24"/>
        </w:rPr>
      </w:pPr>
      <w:bookmarkStart w:id="73" w:name="_Toc354393017"/>
      <w:r w:rsidRPr="000457D8">
        <w:rPr>
          <w:rFonts w:ascii="Times New Roman" w:hAnsi="Times New Roman" w:cs="Times New Roman"/>
          <w:b w:val="0"/>
          <w:color w:val="auto"/>
          <w:sz w:val="24"/>
        </w:rPr>
        <w:lastRenderedPageBreak/>
        <w:t xml:space="preserve">Obr. </w:t>
      </w:r>
      <w:r w:rsidR="00FA567C" w:rsidRPr="000457D8">
        <w:rPr>
          <w:rFonts w:ascii="Times New Roman" w:hAnsi="Times New Roman" w:cs="Times New Roman"/>
          <w:b w:val="0"/>
          <w:color w:val="auto"/>
          <w:sz w:val="24"/>
        </w:rPr>
        <w:fldChar w:fldCharType="begin"/>
      </w:r>
      <w:r w:rsidRPr="000457D8">
        <w:rPr>
          <w:rFonts w:ascii="Times New Roman" w:hAnsi="Times New Roman" w:cs="Times New Roman"/>
          <w:b w:val="0"/>
          <w:color w:val="auto"/>
          <w:sz w:val="24"/>
        </w:rPr>
        <w:instrText xml:space="preserve"> SEQ Obr. \* ARABIC </w:instrText>
      </w:r>
      <w:r w:rsidR="00FA567C" w:rsidRPr="000457D8">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11</w:t>
      </w:r>
      <w:r w:rsidR="00FA567C" w:rsidRPr="000457D8">
        <w:rPr>
          <w:rFonts w:ascii="Times New Roman" w:hAnsi="Times New Roman" w:cs="Times New Roman"/>
          <w:b w:val="0"/>
          <w:color w:val="auto"/>
          <w:sz w:val="24"/>
        </w:rPr>
        <w:fldChar w:fldCharType="end"/>
      </w:r>
      <w:r w:rsidRPr="000457D8">
        <w:rPr>
          <w:rFonts w:ascii="Times New Roman" w:hAnsi="Times New Roman" w:cs="Times New Roman"/>
          <w:b w:val="0"/>
          <w:color w:val="auto"/>
          <w:sz w:val="24"/>
        </w:rPr>
        <w:t>: Grafické znázornění cap</w:t>
      </w:r>
      <w:bookmarkEnd w:id="73"/>
    </w:p>
    <w:p w:rsidR="000457D8" w:rsidRDefault="000457D8" w:rsidP="000457D8">
      <w:pPr>
        <w:spacing w:line="276" w:lineRule="auto"/>
        <w:jc w:val="center"/>
      </w:pPr>
      <w:r>
        <w:rPr>
          <w:noProof/>
          <w:lang w:eastAsia="cs-CZ"/>
        </w:rPr>
        <w:drawing>
          <wp:inline distT="0" distB="0" distL="0" distR="0">
            <wp:extent cx="4229100" cy="2622042"/>
            <wp:effectExtent l="19050" t="0" r="0" b="0"/>
            <wp:docPr id="24" name="Obrázek 23" descr="urokova-opce-schem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okova-opce-schema-1.gif"/>
                    <pic:cNvPicPr/>
                  </pic:nvPicPr>
                  <pic:blipFill>
                    <a:blip r:embed="rId25" cstate="print"/>
                    <a:stretch>
                      <a:fillRect/>
                    </a:stretch>
                  </pic:blipFill>
                  <pic:spPr>
                    <a:xfrm>
                      <a:off x="0" y="0"/>
                      <a:ext cx="4229100" cy="2622042"/>
                    </a:xfrm>
                    <a:prstGeom prst="rect">
                      <a:avLst/>
                    </a:prstGeom>
                  </pic:spPr>
                </pic:pic>
              </a:graphicData>
            </a:graphic>
          </wp:inline>
        </w:drawing>
      </w:r>
    </w:p>
    <w:p w:rsidR="000457D8" w:rsidRPr="00B74AED" w:rsidRDefault="000457D8" w:rsidP="000457D8">
      <w:pPr>
        <w:spacing w:after="240" w:line="276" w:lineRule="auto"/>
        <w:jc w:val="both"/>
        <w:rPr>
          <w:i/>
          <w:sz w:val="20"/>
        </w:rPr>
      </w:pPr>
      <w:r w:rsidRPr="00B74AED">
        <w:rPr>
          <w:i/>
          <w:sz w:val="20"/>
        </w:rPr>
        <w:t>Pramen:</w:t>
      </w:r>
      <w:r w:rsidR="00E3304D" w:rsidRPr="00B74AED">
        <w:rPr>
          <w:i/>
          <w:sz w:val="20"/>
        </w:rPr>
        <w:t xml:space="preserve"> </w:t>
      </w:r>
      <w:r w:rsidR="00F2162F">
        <w:rPr>
          <w:i/>
          <w:sz w:val="20"/>
        </w:rPr>
        <w:t xml:space="preserve">KOMERČNÍ BANKA: Úroková opce. </w:t>
      </w:r>
      <w:r w:rsidR="00F07151" w:rsidRPr="00B74AED">
        <w:rPr>
          <w:i/>
          <w:iCs/>
          <w:sz w:val="20"/>
          <w:szCs w:val="20"/>
        </w:rPr>
        <w:t>Komerční banka</w:t>
      </w:r>
      <w:r w:rsidR="00F07151" w:rsidRPr="00B74AED">
        <w:rPr>
          <w:i/>
          <w:sz w:val="20"/>
          <w:szCs w:val="20"/>
        </w:rPr>
        <w:t xml:space="preserve"> [online]. [cit. 2013-04-04]. Dostupné </w:t>
      </w:r>
      <w:r w:rsidR="003E35B7" w:rsidRPr="00B74AED">
        <w:rPr>
          <w:i/>
          <w:sz w:val="20"/>
          <w:szCs w:val="20"/>
        </w:rPr>
        <w:t>na WWW</w:t>
      </w:r>
      <w:r w:rsidR="00F07151" w:rsidRPr="00B74AED">
        <w:rPr>
          <w:i/>
          <w:sz w:val="20"/>
          <w:szCs w:val="20"/>
        </w:rPr>
        <w:t>:</w:t>
      </w:r>
      <w:r w:rsidR="00F07151" w:rsidRPr="00B74AED">
        <w:rPr>
          <w:i/>
          <w:sz w:val="20"/>
        </w:rPr>
        <w:t xml:space="preserve"> </w:t>
      </w:r>
      <w:r w:rsidR="00E3304D" w:rsidRPr="00B74AED">
        <w:rPr>
          <w:i/>
          <w:sz w:val="20"/>
        </w:rPr>
        <w:t>&lt;</w:t>
      </w:r>
      <w:r w:rsidRPr="00B74AED">
        <w:rPr>
          <w:i/>
          <w:sz w:val="20"/>
        </w:rPr>
        <w:t>http://www.kb.cz/cs/verejna-sprava/urokova-opce.shtml</w:t>
      </w:r>
      <w:r w:rsidR="00E3304D" w:rsidRPr="00B74AED">
        <w:rPr>
          <w:i/>
          <w:sz w:val="20"/>
        </w:rPr>
        <w:t>&gt;</w:t>
      </w:r>
    </w:p>
    <w:p w:rsidR="000457D8" w:rsidRDefault="000457D8" w:rsidP="000457D8">
      <w:pPr>
        <w:spacing w:after="240" w:line="276" w:lineRule="auto"/>
        <w:jc w:val="both"/>
      </w:pPr>
    </w:p>
    <w:p w:rsidR="00FD6293" w:rsidRDefault="000457D8" w:rsidP="000457D8">
      <w:pPr>
        <w:spacing w:after="240" w:line="276" w:lineRule="auto"/>
        <w:jc w:val="both"/>
      </w:pPr>
      <w:r>
        <w:t xml:space="preserve">Floor je tvořen řadou prodejních opcí na úrokovou míru. </w:t>
      </w:r>
      <w:r w:rsidR="00FD6293">
        <w:t>Floor představuje dohodu mezi</w:t>
      </w:r>
      <w:r w:rsidR="00B74AED">
        <w:t> </w:t>
      </w:r>
      <w:r w:rsidR="00FD6293">
        <w:t>obchodníky, že pokud bude v rozhodný den referenční úroková sazba nižší než</w:t>
      </w:r>
      <w:r w:rsidR="00B74AED">
        <w:t> </w:t>
      </w:r>
      <w:r w:rsidR="00FD6293">
        <w:t>stanovená floor hranice, zaplatí prodávající kupujícímu odpovídající úrokový rozdíl, který</w:t>
      </w:r>
      <w:r w:rsidR="00B74AED">
        <w:t> </w:t>
      </w:r>
      <w:r w:rsidR="00FD6293">
        <w:t xml:space="preserve">se vztahuje ke sjednané nominální hodnotě a časovému úseku. Kupující floor se </w:t>
      </w:r>
      <w:r w:rsidR="0073197D">
        <w:t>tímto způsobem</w:t>
      </w:r>
      <w:r w:rsidR="00FD6293">
        <w:t xml:space="preserve"> zajišťuje proti poklesu úrokových sazeb.</w:t>
      </w:r>
    </w:p>
    <w:p w:rsidR="001F45AB" w:rsidRDefault="001F45AB" w:rsidP="000457D8">
      <w:pPr>
        <w:spacing w:after="240" w:line="276" w:lineRule="auto"/>
        <w:jc w:val="both"/>
      </w:pPr>
    </w:p>
    <w:p w:rsidR="00FD6293" w:rsidRPr="00FD6293" w:rsidRDefault="00FD6293" w:rsidP="00FD6293">
      <w:pPr>
        <w:pStyle w:val="Titulek"/>
        <w:keepNext/>
        <w:spacing w:line="276" w:lineRule="auto"/>
        <w:jc w:val="both"/>
        <w:rPr>
          <w:rFonts w:ascii="Times New Roman" w:hAnsi="Times New Roman" w:cs="Times New Roman"/>
          <w:b w:val="0"/>
          <w:color w:val="auto"/>
          <w:sz w:val="24"/>
        </w:rPr>
      </w:pPr>
      <w:bookmarkStart w:id="74" w:name="_Toc354393018"/>
      <w:r w:rsidRPr="00FD6293">
        <w:rPr>
          <w:rFonts w:ascii="Times New Roman" w:hAnsi="Times New Roman" w:cs="Times New Roman"/>
          <w:b w:val="0"/>
          <w:color w:val="auto"/>
          <w:sz w:val="24"/>
        </w:rPr>
        <w:t xml:space="preserve">Obr. </w:t>
      </w:r>
      <w:r w:rsidR="00FA567C" w:rsidRPr="00FD6293">
        <w:rPr>
          <w:rFonts w:ascii="Times New Roman" w:hAnsi="Times New Roman" w:cs="Times New Roman"/>
          <w:b w:val="0"/>
          <w:color w:val="auto"/>
          <w:sz w:val="24"/>
        </w:rPr>
        <w:fldChar w:fldCharType="begin"/>
      </w:r>
      <w:r w:rsidRPr="00FD6293">
        <w:rPr>
          <w:rFonts w:ascii="Times New Roman" w:hAnsi="Times New Roman" w:cs="Times New Roman"/>
          <w:b w:val="0"/>
          <w:color w:val="auto"/>
          <w:sz w:val="24"/>
        </w:rPr>
        <w:instrText xml:space="preserve"> SEQ Obr. \* ARABIC </w:instrText>
      </w:r>
      <w:r w:rsidR="00FA567C" w:rsidRPr="00FD6293">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12</w:t>
      </w:r>
      <w:r w:rsidR="00FA567C" w:rsidRPr="00FD6293">
        <w:rPr>
          <w:rFonts w:ascii="Times New Roman" w:hAnsi="Times New Roman" w:cs="Times New Roman"/>
          <w:b w:val="0"/>
          <w:color w:val="auto"/>
          <w:sz w:val="24"/>
        </w:rPr>
        <w:fldChar w:fldCharType="end"/>
      </w:r>
      <w:r w:rsidRPr="00FD6293">
        <w:rPr>
          <w:rFonts w:ascii="Times New Roman" w:hAnsi="Times New Roman" w:cs="Times New Roman"/>
          <w:b w:val="0"/>
          <w:color w:val="auto"/>
          <w:sz w:val="24"/>
        </w:rPr>
        <w:t>: Grafické znázornění floor</w:t>
      </w:r>
      <w:bookmarkEnd w:id="74"/>
    </w:p>
    <w:p w:rsidR="00FD6293" w:rsidRDefault="00FD6293" w:rsidP="00FD6293">
      <w:pPr>
        <w:spacing w:line="276" w:lineRule="auto"/>
        <w:jc w:val="center"/>
      </w:pPr>
      <w:r>
        <w:rPr>
          <w:noProof/>
          <w:lang w:eastAsia="cs-CZ"/>
        </w:rPr>
        <w:drawing>
          <wp:inline distT="0" distB="0" distL="0" distR="0">
            <wp:extent cx="4295775" cy="2663381"/>
            <wp:effectExtent l="19050" t="0" r="9525" b="0"/>
            <wp:docPr id="25" name="Obrázek 24" descr="flo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gif"/>
                    <pic:cNvPicPr/>
                  </pic:nvPicPr>
                  <pic:blipFill>
                    <a:blip r:embed="rId26" cstate="print"/>
                    <a:stretch>
                      <a:fillRect/>
                    </a:stretch>
                  </pic:blipFill>
                  <pic:spPr>
                    <a:xfrm>
                      <a:off x="0" y="0"/>
                      <a:ext cx="4296381" cy="2663756"/>
                    </a:xfrm>
                    <a:prstGeom prst="rect">
                      <a:avLst/>
                    </a:prstGeom>
                  </pic:spPr>
                </pic:pic>
              </a:graphicData>
            </a:graphic>
          </wp:inline>
        </w:drawing>
      </w:r>
    </w:p>
    <w:p w:rsidR="00FD6293" w:rsidRPr="00B74AED" w:rsidRDefault="00FD6293" w:rsidP="00FD6293">
      <w:pPr>
        <w:spacing w:after="240" w:line="276" w:lineRule="auto"/>
        <w:jc w:val="both"/>
        <w:rPr>
          <w:i/>
          <w:sz w:val="20"/>
        </w:rPr>
      </w:pPr>
      <w:r w:rsidRPr="00B74AED">
        <w:rPr>
          <w:i/>
          <w:sz w:val="20"/>
        </w:rPr>
        <w:t xml:space="preserve">Pramen: </w:t>
      </w:r>
      <w:r w:rsidR="00F2162F">
        <w:rPr>
          <w:i/>
          <w:sz w:val="20"/>
        </w:rPr>
        <w:t xml:space="preserve">KOMERČNÍ BANKA: Úroková opce. </w:t>
      </w:r>
      <w:r w:rsidR="00F07151" w:rsidRPr="00B74AED">
        <w:rPr>
          <w:i/>
          <w:iCs/>
          <w:sz w:val="20"/>
          <w:szCs w:val="20"/>
        </w:rPr>
        <w:t>Komerční banka</w:t>
      </w:r>
      <w:r w:rsidR="00F07151" w:rsidRPr="00B74AED">
        <w:rPr>
          <w:i/>
          <w:sz w:val="20"/>
          <w:szCs w:val="20"/>
        </w:rPr>
        <w:t xml:space="preserve"> [online]. [cit. 2013-04-04]. Dostupné </w:t>
      </w:r>
      <w:r w:rsidR="003E35B7" w:rsidRPr="00B74AED">
        <w:rPr>
          <w:i/>
          <w:sz w:val="20"/>
          <w:szCs w:val="20"/>
        </w:rPr>
        <w:t>na WWW</w:t>
      </w:r>
      <w:r w:rsidR="00F07151" w:rsidRPr="00B74AED">
        <w:rPr>
          <w:i/>
          <w:sz w:val="20"/>
          <w:szCs w:val="20"/>
        </w:rPr>
        <w:t>:</w:t>
      </w:r>
      <w:r w:rsidR="00F07151" w:rsidRPr="00B74AED">
        <w:rPr>
          <w:i/>
          <w:sz w:val="20"/>
        </w:rPr>
        <w:t xml:space="preserve"> </w:t>
      </w:r>
      <w:r w:rsidR="00E3304D" w:rsidRPr="00B74AED">
        <w:rPr>
          <w:i/>
          <w:sz w:val="20"/>
        </w:rPr>
        <w:t>&lt;</w:t>
      </w:r>
      <w:r w:rsidRPr="00B74AED">
        <w:rPr>
          <w:i/>
          <w:sz w:val="20"/>
        </w:rPr>
        <w:t>http://www.kb.cz/cs/verejna-sprava/urokova-opce.shtml</w:t>
      </w:r>
      <w:r w:rsidR="00E3304D" w:rsidRPr="00B74AED">
        <w:rPr>
          <w:i/>
          <w:sz w:val="20"/>
        </w:rPr>
        <w:t>&gt;</w:t>
      </w:r>
    </w:p>
    <w:p w:rsidR="00FD6293" w:rsidRDefault="00FD6293" w:rsidP="00FD6293">
      <w:pPr>
        <w:spacing w:after="240" w:line="276" w:lineRule="auto"/>
        <w:jc w:val="both"/>
      </w:pPr>
      <w:r>
        <w:lastRenderedPageBreak/>
        <w:t>Dohoda collar je kombinací</w:t>
      </w:r>
      <w:r w:rsidR="0073197D">
        <w:t xml:space="preserve"> dohod</w:t>
      </w:r>
      <w:r>
        <w:t xml:space="preserve"> cap a floor. Kupující collar je v postavení kupujícího cap a</w:t>
      </w:r>
      <w:r w:rsidR="001F45AB">
        <w:t> </w:t>
      </w:r>
      <w:r>
        <w:t xml:space="preserve">prodávajícího </w:t>
      </w:r>
      <w:r w:rsidR="0073197D">
        <w:t>floor</w:t>
      </w:r>
      <w:r>
        <w:t xml:space="preserve">. Pokud tedy protne referenční úroková sazba hranici cap, obdrží kupující </w:t>
      </w:r>
      <w:r w:rsidR="001F45AB">
        <w:t>collar</w:t>
      </w:r>
      <w:r>
        <w:t xml:space="preserve"> příslušnou úrokovou platbu. Pokud naopak dojde k poklesu </w:t>
      </w:r>
      <w:r w:rsidR="001F45AB">
        <w:t>referenční sazby pod</w:t>
      </w:r>
      <w:r w:rsidR="00B74AED">
        <w:t> </w:t>
      </w:r>
      <w:r w:rsidR="001F45AB">
        <w:t>stanovenou hranici floor, je kupující collar povinen zaplatit prodávajícímu collar úrokový rozdíl</w:t>
      </w:r>
      <w:r w:rsidR="001F45AB">
        <w:rPr>
          <w:rStyle w:val="Znakapoznpodarou"/>
        </w:rPr>
        <w:footnoteReference w:id="116"/>
      </w:r>
      <w:r w:rsidR="001F45AB">
        <w:t>. Kupující collar platí menší opční prémii. Je to díky tomu, že platí opční prémii za dohodu cap, ale zároveň inkasuje opční prémii za dohodu floor. Kupující collar zajišťuje své proměnlivě úročené závazky.</w:t>
      </w:r>
    </w:p>
    <w:p w:rsidR="001F45AB" w:rsidRDefault="001F45AB" w:rsidP="00FD6293">
      <w:pPr>
        <w:spacing w:after="240" w:line="276" w:lineRule="auto"/>
        <w:jc w:val="both"/>
      </w:pPr>
    </w:p>
    <w:p w:rsidR="001F45AB" w:rsidRPr="001F45AB" w:rsidRDefault="001F45AB" w:rsidP="001F45AB">
      <w:pPr>
        <w:pStyle w:val="Titulek"/>
        <w:keepNext/>
        <w:spacing w:line="276" w:lineRule="auto"/>
        <w:jc w:val="both"/>
        <w:rPr>
          <w:rFonts w:ascii="Times New Roman" w:hAnsi="Times New Roman" w:cs="Times New Roman"/>
          <w:b w:val="0"/>
          <w:color w:val="auto"/>
          <w:sz w:val="24"/>
        </w:rPr>
      </w:pPr>
      <w:bookmarkStart w:id="75" w:name="_Toc354393019"/>
      <w:r w:rsidRPr="001F45AB">
        <w:rPr>
          <w:rFonts w:ascii="Times New Roman" w:hAnsi="Times New Roman" w:cs="Times New Roman"/>
          <w:b w:val="0"/>
          <w:color w:val="auto"/>
          <w:sz w:val="24"/>
        </w:rPr>
        <w:t xml:space="preserve">Obr. </w:t>
      </w:r>
      <w:r w:rsidR="00FA567C" w:rsidRPr="001F45AB">
        <w:rPr>
          <w:rFonts w:ascii="Times New Roman" w:hAnsi="Times New Roman" w:cs="Times New Roman"/>
          <w:b w:val="0"/>
          <w:color w:val="auto"/>
          <w:sz w:val="24"/>
        </w:rPr>
        <w:fldChar w:fldCharType="begin"/>
      </w:r>
      <w:r w:rsidRPr="001F45AB">
        <w:rPr>
          <w:rFonts w:ascii="Times New Roman" w:hAnsi="Times New Roman" w:cs="Times New Roman"/>
          <w:b w:val="0"/>
          <w:color w:val="auto"/>
          <w:sz w:val="24"/>
        </w:rPr>
        <w:instrText xml:space="preserve"> SEQ Obr. \* ARABIC </w:instrText>
      </w:r>
      <w:r w:rsidR="00FA567C" w:rsidRPr="001F45AB">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13</w:t>
      </w:r>
      <w:r w:rsidR="00FA567C" w:rsidRPr="001F45AB">
        <w:rPr>
          <w:rFonts w:ascii="Times New Roman" w:hAnsi="Times New Roman" w:cs="Times New Roman"/>
          <w:b w:val="0"/>
          <w:color w:val="auto"/>
          <w:sz w:val="24"/>
        </w:rPr>
        <w:fldChar w:fldCharType="end"/>
      </w:r>
      <w:r w:rsidRPr="001F45AB">
        <w:rPr>
          <w:rFonts w:ascii="Times New Roman" w:hAnsi="Times New Roman" w:cs="Times New Roman"/>
          <w:b w:val="0"/>
          <w:color w:val="auto"/>
          <w:sz w:val="24"/>
        </w:rPr>
        <w:t>: Grafické znázornění collar</w:t>
      </w:r>
      <w:bookmarkEnd w:id="75"/>
    </w:p>
    <w:p w:rsidR="001F45AB" w:rsidRDefault="001F45AB" w:rsidP="001F45AB">
      <w:pPr>
        <w:spacing w:line="276" w:lineRule="auto"/>
        <w:jc w:val="center"/>
      </w:pPr>
      <w:r>
        <w:rPr>
          <w:noProof/>
          <w:lang w:eastAsia="cs-CZ"/>
        </w:rPr>
        <w:drawing>
          <wp:inline distT="0" distB="0" distL="0" distR="0">
            <wp:extent cx="4270888" cy="2647950"/>
            <wp:effectExtent l="19050" t="0" r="0" b="0"/>
            <wp:docPr id="26" name="Obrázek 25" descr="coll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lar.gif"/>
                    <pic:cNvPicPr/>
                  </pic:nvPicPr>
                  <pic:blipFill>
                    <a:blip r:embed="rId27" cstate="print"/>
                    <a:stretch>
                      <a:fillRect/>
                    </a:stretch>
                  </pic:blipFill>
                  <pic:spPr>
                    <a:xfrm>
                      <a:off x="0" y="0"/>
                      <a:ext cx="4273245" cy="2649411"/>
                    </a:xfrm>
                    <a:prstGeom prst="rect">
                      <a:avLst/>
                    </a:prstGeom>
                  </pic:spPr>
                </pic:pic>
              </a:graphicData>
            </a:graphic>
          </wp:inline>
        </w:drawing>
      </w:r>
    </w:p>
    <w:p w:rsidR="001F45AB" w:rsidRPr="00B74AED" w:rsidRDefault="001F45AB" w:rsidP="001F45AB">
      <w:pPr>
        <w:spacing w:after="240" w:line="276" w:lineRule="auto"/>
        <w:jc w:val="both"/>
        <w:rPr>
          <w:i/>
          <w:sz w:val="20"/>
          <w:szCs w:val="20"/>
        </w:rPr>
      </w:pPr>
      <w:r w:rsidRPr="00B74AED">
        <w:rPr>
          <w:i/>
          <w:sz w:val="20"/>
          <w:szCs w:val="20"/>
        </w:rPr>
        <w:t xml:space="preserve">Pramen: </w:t>
      </w:r>
      <w:r w:rsidR="00F2162F">
        <w:rPr>
          <w:i/>
          <w:sz w:val="20"/>
          <w:szCs w:val="20"/>
        </w:rPr>
        <w:t>KOMERČNÍ BANKA: Úroková opce.</w:t>
      </w:r>
      <w:r w:rsidR="00F07151" w:rsidRPr="00B74AED">
        <w:rPr>
          <w:i/>
          <w:sz w:val="20"/>
          <w:szCs w:val="20"/>
        </w:rPr>
        <w:t xml:space="preserve"> </w:t>
      </w:r>
      <w:r w:rsidR="00F07151" w:rsidRPr="00B74AED">
        <w:rPr>
          <w:i/>
          <w:iCs/>
          <w:sz w:val="20"/>
          <w:szCs w:val="20"/>
        </w:rPr>
        <w:t>Komerční banka</w:t>
      </w:r>
      <w:r w:rsidR="00F07151" w:rsidRPr="00B74AED">
        <w:rPr>
          <w:i/>
          <w:sz w:val="20"/>
          <w:szCs w:val="20"/>
        </w:rPr>
        <w:t xml:space="preserve"> [online]. [cit. 2013-04-04]. Dostupné </w:t>
      </w:r>
      <w:r w:rsidR="003E35B7" w:rsidRPr="00B74AED">
        <w:rPr>
          <w:i/>
          <w:sz w:val="20"/>
          <w:szCs w:val="20"/>
        </w:rPr>
        <w:t>na WWW</w:t>
      </w:r>
      <w:r w:rsidR="00E3304D" w:rsidRPr="00B74AED">
        <w:rPr>
          <w:i/>
          <w:sz w:val="20"/>
          <w:szCs w:val="20"/>
        </w:rPr>
        <w:t>: &lt;</w:t>
      </w:r>
      <w:r w:rsidRPr="00B74AED">
        <w:rPr>
          <w:i/>
          <w:sz w:val="20"/>
          <w:szCs w:val="20"/>
        </w:rPr>
        <w:t>http://www.kb.cz/cs/verejna-sprava/urokova-opce.shtml</w:t>
      </w:r>
      <w:r w:rsidR="00E3304D" w:rsidRPr="00B74AED">
        <w:rPr>
          <w:i/>
          <w:sz w:val="20"/>
          <w:szCs w:val="20"/>
        </w:rPr>
        <w:t>&gt;</w:t>
      </w:r>
    </w:p>
    <w:p w:rsidR="001F45AB" w:rsidRDefault="001F45AB" w:rsidP="001F45AB">
      <w:pPr>
        <w:spacing w:after="240" w:line="276" w:lineRule="auto"/>
        <w:jc w:val="both"/>
      </w:pPr>
    </w:p>
    <w:p w:rsidR="00983150" w:rsidRPr="003E2772" w:rsidRDefault="00983150" w:rsidP="00C27CB0">
      <w:pPr>
        <w:pStyle w:val="Nadpis2"/>
      </w:pPr>
      <w:bookmarkStart w:id="76" w:name="_Toc350268270"/>
      <w:bookmarkStart w:id="77" w:name="_Toc354393071"/>
      <w:r w:rsidRPr="003E2772">
        <w:t>Měnové opce</w:t>
      </w:r>
      <w:bookmarkEnd w:id="76"/>
      <w:bookmarkEnd w:id="77"/>
    </w:p>
    <w:p w:rsidR="001F45AB" w:rsidRPr="001F45AB" w:rsidRDefault="006C391C" w:rsidP="00983150">
      <w:pPr>
        <w:spacing w:after="240" w:line="276" w:lineRule="auto"/>
        <w:jc w:val="both"/>
      </w:pPr>
      <w:r>
        <w:t>Měnové opce představují právo na směnu částky ho</w:t>
      </w:r>
      <w:r w:rsidR="0073197D">
        <w:t>tovosti v jedné měně za částku</w:t>
      </w:r>
      <w:r>
        <w:t> hotovosti</w:t>
      </w:r>
      <w:r w:rsidR="0073197D">
        <w:t>,</w:t>
      </w:r>
      <w:r>
        <w:t xml:space="preserve"> denominovanou v jiné měně. Měnová opce tedy představuje právo kupujícího v předem dohodnutý termín v budoucnosti koupit nebo prodat sjednanou částku hotovosti za stanovený měnový kurz.</w:t>
      </w:r>
    </w:p>
    <w:p w:rsidR="00983150" w:rsidRDefault="006C391C" w:rsidP="00983150">
      <w:pPr>
        <w:spacing w:after="240" w:line="276" w:lineRule="auto"/>
        <w:jc w:val="both"/>
      </w:pPr>
      <w:r>
        <w:t>Rozlišujeme</w:t>
      </w:r>
      <w:r w:rsidR="00983150" w:rsidRPr="003E2772">
        <w:t xml:space="preserve"> kupn</w:t>
      </w:r>
      <w:r>
        <w:t xml:space="preserve">í a prodejní měnové opce. V případě </w:t>
      </w:r>
      <w:r w:rsidR="00983150" w:rsidRPr="003E2772">
        <w:t xml:space="preserve">koupené kupní měnové opce </w:t>
      </w:r>
      <w:r w:rsidRPr="003E2772">
        <w:t xml:space="preserve">obdrží </w:t>
      </w:r>
      <w:r w:rsidR="00983150" w:rsidRPr="003E2772">
        <w:t>majitel opce v budoucnu rozdíl mezi budoucím spotovým měnovým kurzem a dohodnutým měnovým kurzem. Koupená prodejní měnová opce představuje právo majitele opce v budoucnu inkasovat částku odpovídající rozdílu mezi realizačním měnovým kurzem a</w:t>
      </w:r>
      <w:r>
        <w:t> </w:t>
      </w:r>
      <w:r w:rsidR="00983150" w:rsidRPr="003E2772">
        <w:t>budoucím spotovým měnovým kurzem.</w:t>
      </w:r>
    </w:p>
    <w:p w:rsidR="006C391C" w:rsidRDefault="006C391C" w:rsidP="00983150">
      <w:pPr>
        <w:spacing w:after="240" w:line="276" w:lineRule="auto"/>
        <w:jc w:val="both"/>
      </w:pPr>
      <w:r>
        <w:lastRenderedPageBreak/>
        <w:t>Ocenění měnové opce vychází z úpravy Black-Scholesova modelu. Tuto modifikaci vypracovali ekonomové M. G. Garman a S. W. Kohlhagen</w:t>
      </w:r>
      <w:r w:rsidR="00B74AED">
        <w:t>,</w:t>
      </w:r>
      <w:r w:rsidR="00A451A6">
        <w:t xml:space="preserve"> model se</w:t>
      </w:r>
      <w:r w:rsidR="00B74AED">
        <w:t xml:space="preserve">  podle nich</w:t>
      </w:r>
      <w:r w:rsidR="00A451A6">
        <w:t xml:space="preserve"> nazývá Garman-</w:t>
      </w:r>
      <w:r w:rsidR="00A451A6" w:rsidRPr="00A451A6">
        <w:t xml:space="preserve"> </w:t>
      </w:r>
      <w:r w:rsidR="00A451A6">
        <w:t>Kohlhagenův model</w:t>
      </w:r>
      <w:r>
        <w:t xml:space="preserve">. Cena call a put měnové opce se vypočítá dle vzorců: </w:t>
      </w:r>
    </w:p>
    <w:p w:rsidR="006C391C" w:rsidRDefault="006C391C" w:rsidP="00983150">
      <w:pPr>
        <w:spacing w:after="240" w:line="276" w:lineRule="auto"/>
        <w:jc w:val="both"/>
      </w:pPr>
      <m:oMathPara>
        <m:oMath>
          <m:r>
            <w:rPr>
              <w:rFonts w:ascii="Cambria Math" w:hAnsi="Cambria Math"/>
            </w:rPr>
            <m:t>C=</m:t>
          </m:r>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r</m:t>
                      </m:r>
                    </m:e>
                    <m:sub>
                      <m:r>
                        <w:rPr>
                          <w:rFonts w:ascii="Cambria Math" w:hAnsi="Cambria Math"/>
                        </w:rPr>
                        <m:t>CM</m:t>
                      </m:r>
                    </m:sub>
                  </m:sSub>
                  <m:r>
                    <w:rPr>
                      <w:rFonts w:ascii="Cambria Math" w:hAnsi="Cambria Math"/>
                    </w:rPr>
                    <m:t>*t</m:t>
                  </m:r>
                </m:sup>
              </m:sSup>
            </m:den>
          </m:f>
          <m:r>
            <w:rPr>
              <w:rFonts w:ascii="Cambria Math" w:hAnsi="Cambria Math"/>
            </w:rPr>
            <m:t>*N</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1</m:t>
                  </m:r>
                </m:sub>
              </m:sSub>
            </m:e>
          </m:d>
          <m:r>
            <w:rPr>
              <w:rFonts w:ascii="Cambria Math" w:hAnsi="Cambria Math"/>
            </w:rPr>
            <m:t>-</m:t>
          </m:r>
          <m:f>
            <m:fPr>
              <m:ctrlPr>
                <w:rPr>
                  <w:rFonts w:ascii="Cambria Math" w:hAnsi="Cambria Math"/>
                  <w:i/>
                </w:rPr>
              </m:ctrlPr>
            </m:fPr>
            <m:num>
              <m:r>
                <w:rPr>
                  <w:rFonts w:ascii="Cambria Math" w:hAnsi="Cambria Math"/>
                </w:rPr>
                <m:t>X</m:t>
              </m:r>
            </m:num>
            <m:den>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r</m:t>
                      </m:r>
                    </m:e>
                    <m:sub>
                      <m:r>
                        <w:rPr>
                          <w:rFonts w:ascii="Cambria Math" w:hAnsi="Cambria Math"/>
                        </w:rPr>
                        <m:t>DM</m:t>
                      </m:r>
                    </m:sub>
                  </m:sSub>
                  <m:r>
                    <w:rPr>
                      <w:rFonts w:ascii="Cambria Math" w:hAnsi="Cambria Math"/>
                    </w:rPr>
                    <m:t>*t</m:t>
                  </m:r>
                </m:sup>
              </m:sSup>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m:t>
          </m:r>
        </m:oMath>
      </m:oMathPara>
    </w:p>
    <w:p w:rsidR="006C391C" w:rsidRDefault="006C391C" w:rsidP="006C391C">
      <w:pPr>
        <w:spacing w:after="240" w:line="276" w:lineRule="auto"/>
        <w:jc w:val="both"/>
        <w:rPr>
          <w:rFonts w:eastAsiaTheme="minorEastAsia"/>
        </w:rPr>
      </w:pPr>
      <m:oMathPara>
        <m:oMathParaPr>
          <m:jc m:val="center"/>
        </m:oMathParaPr>
        <m:oMath>
          <m:r>
            <w:rPr>
              <w:rFonts w:ascii="Cambria Math" w:hAnsi="Cambria Math"/>
            </w:rPr>
            <m:t>P=-</m:t>
          </m:r>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r</m:t>
                      </m:r>
                    </m:e>
                    <m:sub>
                      <m:r>
                        <w:rPr>
                          <w:rFonts w:ascii="Cambria Math" w:hAnsi="Cambria Math"/>
                        </w:rPr>
                        <m:t>CM</m:t>
                      </m:r>
                    </m:sub>
                  </m:sSub>
                  <m:r>
                    <w:rPr>
                      <w:rFonts w:ascii="Cambria Math" w:hAnsi="Cambria Math"/>
                    </w:rPr>
                    <m:t>*t</m:t>
                  </m:r>
                </m:sup>
              </m:sSup>
            </m:den>
          </m:f>
          <m:r>
            <w:rPr>
              <w:rFonts w:ascii="Cambria Math" w:hAnsi="Cambria Math"/>
            </w:rPr>
            <m:t>*N</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e>
          </m:d>
          <m:r>
            <w:rPr>
              <w:rFonts w:ascii="Cambria Math" w:hAnsi="Cambria Math"/>
            </w:rPr>
            <m:t>+</m:t>
          </m:r>
          <m:f>
            <m:fPr>
              <m:ctrlPr>
                <w:rPr>
                  <w:rFonts w:ascii="Cambria Math" w:hAnsi="Cambria Math"/>
                  <w:i/>
                </w:rPr>
              </m:ctrlPr>
            </m:fPr>
            <m:num>
              <m:r>
                <w:rPr>
                  <w:rFonts w:ascii="Cambria Math" w:hAnsi="Cambria Math"/>
                </w:rPr>
                <m:t>X</m:t>
              </m:r>
            </m:num>
            <m:den>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r</m:t>
                      </m:r>
                    </m:e>
                    <m:sub>
                      <m:r>
                        <w:rPr>
                          <w:rFonts w:ascii="Cambria Math" w:hAnsi="Cambria Math"/>
                        </w:rPr>
                        <m:t>DM</m:t>
                      </m:r>
                    </m:sub>
                  </m:sSub>
                  <m:r>
                    <w:rPr>
                      <w:rFonts w:ascii="Cambria Math" w:hAnsi="Cambria Math"/>
                    </w:rPr>
                    <m:t>*t</m:t>
                  </m:r>
                </m:sup>
              </m:sSup>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m:t>
          </m:r>
        </m:oMath>
      </m:oMathPara>
    </w:p>
    <w:p w:rsidR="006C391C" w:rsidRDefault="006C391C" w:rsidP="006C391C">
      <w:pPr>
        <w:spacing w:after="240" w:line="276" w:lineRule="auto"/>
        <w:jc w:val="both"/>
        <w:rPr>
          <w:rFonts w:eastAsiaTheme="minorEastAsia"/>
        </w:rPr>
      </w:pPr>
      <w:r>
        <w:rPr>
          <w:rFonts w:eastAsiaTheme="minorEastAsia"/>
        </w:rPr>
        <w:t xml:space="preserve">Hodnoty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rPr>
          <w:rFonts w:eastAsiaTheme="minorEastAsia"/>
        </w:rPr>
        <w:t xml:space="preserve"> a </w:t>
      </w:r>
      <m:oMath>
        <m:sSub>
          <m:sSubPr>
            <m:ctrlPr>
              <w:rPr>
                <w:rFonts w:ascii="Cambria Math" w:hAnsi="Cambria Math"/>
                <w:i/>
              </w:rPr>
            </m:ctrlPr>
          </m:sSubPr>
          <m:e>
            <m:r>
              <w:rPr>
                <w:rFonts w:ascii="Cambria Math" w:hAnsi="Cambria Math"/>
              </w:rPr>
              <m:t>d</m:t>
            </m:r>
          </m:e>
          <m:sub>
            <m:r>
              <w:rPr>
                <w:rFonts w:ascii="Cambria Math" w:hAnsi="Cambria Math"/>
              </w:rPr>
              <m:t>2</m:t>
            </m:r>
          </m:sub>
        </m:sSub>
      </m:oMath>
      <w:r>
        <w:rPr>
          <w:rFonts w:eastAsiaTheme="minorEastAsia"/>
        </w:rPr>
        <w:t xml:space="preserve"> získáme z následujících vzorců:</w:t>
      </w:r>
    </w:p>
    <w:p w:rsidR="006C391C" w:rsidRDefault="00FA567C" w:rsidP="006C391C">
      <w:pPr>
        <w:spacing w:after="240" w:line="276" w:lineRule="auto"/>
        <w:jc w:val="both"/>
        <w:rPr>
          <w:rFonts w:eastAsiaTheme="minorEastAsia"/>
        </w:rPr>
      </w:pPr>
      <m:oMathPara>
        <m:oMath>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S</m:t>
                          </m:r>
                        </m:num>
                        <m:den>
                          <m:r>
                            <w:rPr>
                              <w:rFonts w:ascii="Cambria Math" w:hAnsi="Cambria Math"/>
                            </w:rPr>
                            <m:t>X</m:t>
                          </m:r>
                        </m:den>
                      </m:f>
                    </m:e>
                  </m:d>
                  <m:ctrlPr>
                    <w:rPr>
                      <w:rFonts w:ascii="Cambria Math" w:hAnsi="Cambria Math"/>
                      <w:i/>
                    </w:rPr>
                  </m:ctrlPr>
                </m:e>
              </m:func>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DM</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CM</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σ</m:t>
                          </m:r>
                        </m:e>
                        <m:sup>
                          <m:r>
                            <w:rPr>
                              <w:rFonts w:ascii="Cambria Math" w:hAnsi="Cambria Math"/>
                            </w:rPr>
                            <m:t>2</m:t>
                          </m:r>
                        </m:sup>
                      </m:sSup>
                    </m:num>
                    <m:den>
                      <m:r>
                        <w:rPr>
                          <w:rFonts w:ascii="Cambria Math" w:hAnsi="Cambria Math"/>
                        </w:rPr>
                        <m:t>2</m:t>
                      </m:r>
                    </m:den>
                  </m:f>
                </m:e>
              </m:d>
              <m:r>
                <w:rPr>
                  <w:rFonts w:ascii="Cambria Math" w:hAnsi="Cambria Math"/>
                </w:rPr>
                <m:t>*t</m:t>
              </m:r>
            </m:num>
            <m:den>
              <m:r>
                <w:rPr>
                  <w:rFonts w:ascii="Cambria Math" w:hAnsi="Cambria Math"/>
                </w:rPr>
                <m:t>σ*</m:t>
              </m:r>
              <m:rad>
                <m:radPr>
                  <m:degHide m:val="on"/>
                  <m:ctrlPr>
                    <w:rPr>
                      <w:rFonts w:ascii="Cambria Math" w:hAnsi="Cambria Math"/>
                      <w:i/>
                    </w:rPr>
                  </m:ctrlPr>
                </m:radPr>
                <m:deg/>
                <m:e>
                  <m:r>
                    <w:rPr>
                      <w:rFonts w:ascii="Cambria Math" w:hAnsi="Cambria Math"/>
                    </w:rPr>
                    <m:t>t</m:t>
                  </m:r>
                </m:e>
              </m:rad>
            </m:den>
          </m:f>
        </m:oMath>
      </m:oMathPara>
    </w:p>
    <w:p w:rsidR="006C391C" w:rsidRDefault="00FA567C" w:rsidP="006C391C">
      <w:pPr>
        <w:spacing w:after="240" w:line="276" w:lineRule="auto"/>
        <w:jc w:val="both"/>
      </w:pPr>
      <m:oMathPara>
        <m:oMath>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-σ*</m:t>
          </m:r>
          <m:rad>
            <m:radPr>
              <m:degHide m:val="on"/>
              <m:ctrlPr>
                <w:rPr>
                  <w:rFonts w:ascii="Cambria Math" w:hAnsi="Cambria Math"/>
                  <w:i/>
                </w:rPr>
              </m:ctrlPr>
            </m:radPr>
            <m:deg/>
            <m:e>
              <m:r>
                <w:rPr>
                  <w:rFonts w:ascii="Cambria Math" w:hAnsi="Cambria Math"/>
                </w:rPr>
                <m:t>t</m:t>
              </m:r>
            </m:e>
          </m:rad>
        </m:oMath>
      </m:oMathPara>
    </w:p>
    <w:p w:rsidR="003A62F9" w:rsidRDefault="003A62F9" w:rsidP="003A62F9">
      <w:pPr>
        <w:spacing w:line="276" w:lineRule="auto"/>
        <w:jc w:val="both"/>
      </w:pPr>
      <w:r>
        <w:t xml:space="preserve">Kde: </w:t>
      </w:r>
      <w:r>
        <w:tab/>
      </w:r>
    </w:p>
    <w:p w:rsidR="003A62F9" w:rsidRPr="003A62F9" w:rsidRDefault="003A62F9" w:rsidP="003A62F9">
      <w:pPr>
        <w:spacing w:line="276" w:lineRule="auto"/>
        <w:ind w:firstLine="708"/>
        <w:jc w:val="both"/>
      </w:pPr>
      <w:r>
        <w:rPr>
          <w:i/>
        </w:rPr>
        <w:t>C</w:t>
      </w:r>
      <w:r>
        <w:t xml:space="preserve"> je cena call opce neboli opční prémie</w:t>
      </w:r>
    </w:p>
    <w:p w:rsidR="003A62F9" w:rsidRDefault="003A62F9" w:rsidP="003A62F9">
      <w:pPr>
        <w:spacing w:line="276" w:lineRule="auto"/>
        <w:ind w:firstLine="708"/>
        <w:jc w:val="both"/>
      </w:pPr>
      <w:r w:rsidRPr="003A62F9">
        <w:rPr>
          <w:i/>
        </w:rPr>
        <w:t>P</w:t>
      </w:r>
      <w:r>
        <w:t xml:space="preserve"> je cena put opce neboli opční prémie</w:t>
      </w:r>
    </w:p>
    <w:p w:rsidR="003A62F9" w:rsidRDefault="003A62F9" w:rsidP="003A62F9">
      <w:pPr>
        <w:spacing w:line="276" w:lineRule="auto"/>
        <w:jc w:val="both"/>
      </w:pPr>
      <w:r>
        <w:tab/>
      </w:r>
      <w:r w:rsidRPr="003A62F9">
        <w:rPr>
          <w:i/>
        </w:rPr>
        <w:t>S</w:t>
      </w:r>
      <w:r>
        <w:t> je spotový měnový kurz vyjádřený jako cena cizí měny v jednotkách domácí měny</w:t>
      </w:r>
    </w:p>
    <w:p w:rsidR="003A62F9" w:rsidRDefault="003A62F9" w:rsidP="003A62F9">
      <w:pPr>
        <w:spacing w:line="276" w:lineRule="auto"/>
        <w:jc w:val="both"/>
      </w:pPr>
      <w:r>
        <w:tab/>
      </w:r>
      <w:r w:rsidRPr="003A62F9">
        <w:rPr>
          <w:i/>
        </w:rPr>
        <w:t>X</w:t>
      </w:r>
      <w:r>
        <w:t xml:space="preserve"> je realizační cena</w:t>
      </w:r>
    </w:p>
    <w:p w:rsidR="003A62F9" w:rsidRDefault="003A62F9" w:rsidP="003A62F9">
      <w:pPr>
        <w:spacing w:line="276" w:lineRule="auto"/>
        <w:jc w:val="both"/>
        <w:rPr>
          <w:rFonts w:eastAsiaTheme="minorEastAsia"/>
        </w:rPr>
      </w:pPr>
      <w:r>
        <w:tab/>
      </w:r>
      <m:oMath>
        <m:sSub>
          <m:sSubPr>
            <m:ctrlPr>
              <w:rPr>
                <w:rFonts w:ascii="Cambria Math" w:hAnsi="Cambria Math"/>
                <w:i/>
              </w:rPr>
            </m:ctrlPr>
          </m:sSubPr>
          <m:e>
            <m:r>
              <w:rPr>
                <w:rFonts w:ascii="Cambria Math" w:hAnsi="Cambria Math"/>
              </w:rPr>
              <m:t>r</m:t>
            </m:r>
          </m:e>
          <m:sub>
            <m:r>
              <w:rPr>
                <w:rFonts w:ascii="Cambria Math" w:hAnsi="Cambria Math"/>
              </w:rPr>
              <m:t>CM</m:t>
            </m:r>
          </m:sub>
        </m:sSub>
      </m:oMath>
      <w:r>
        <w:rPr>
          <w:rFonts w:eastAsiaTheme="minorEastAsia"/>
        </w:rPr>
        <w:t xml:space="preserve"> je bezriziková úroková míra cizí měny</w:t>
      </w:r>
    </w:p>
    <w:p w:rsidR="003A62F9" w:rsidRDefault="003A62F9" w:rsidP="003A62F9">
      <w:pPr>
        <w:spacing w:line="276" w:lineRule="auto"/>
        <w:jc w:val="both"/>
        <w:rPr>
          <w:rFonts w:eastAsiaTheme="minorEastAsia"/>
        </w:rPr>
      </w:pPr>
      <w:r>
        <w:tab/>
      </w:r>
      <m:oMath>
        <m:sSub>
          <m:sSubPr>
            <m:ctrlPr>
              <w:rPr>
                <w:rFonts w:ascii="Cambria Math" w:hAnsi="Cambria Math"/>
                <w:i/>
              </w:rPr>
            </m:ctrlPr>
          </m:sSubPr>
          <m:e>
            <m:r>
              <w:rPr>
                <w:rFonts w:ascii="Cambria Math" w:hAnsi="Cambria Math"/>
              </w:rPr>
              <m:t>r</m:t>
            </m:r>
          </m:e>
          <m:sub>
            <m:r>
              <w:rPr>
                <w:rFonts w:ascii="Cambria Math" w:hAnsi="Cambria Math"/>
              </w:rPr>
              <m:t>DM</m:t>
            </m:r>
          </m:sub>
        </m:sSub>
      </m:oMath>
      <w:r>
        <w:rPr>
          <w:rFonts w:eastAsiaTheme="minorEastAsia"/>
        </w:rPr>
        <w:t xml:space="preserve"> je bezriziková úroková míra domácí měny</w:t>
      </w:r>
    </w:p>
    <w:p w:rsidR="003A62F9" w:rsidRDefault="003A62F9" w:rsidP="003A62F9">
      <w:pPr>
        <w:spacing w:line="276" w:lineRule="auto"/>
        <w:jc w:val="both"/>
        <w:rPr>
          <w:rFonts w:eastAsiaTheme="minorEastAsia"/>
        </w:rPr>
      </w:pPr>
      <w:r>
        <w:rPr>
          <w:rFonts w:eastAsiaTheme="minorEastAsia"/>
        </w:rPr>
        <w:tab/>
      </w:r>
      <w:r w:rsidRPr="003A62F9">
        <w:rPr>
          <w:rFonts w:eastAsiaTheme="minorEastAsia"/>
          <w:i/>
        </w:rPr>
        <w:t>t</w:t>
      </w:r>
      <w:r>
        <w:rPr>
          <w:rFonts w:eastAsiaTheme="minorEastAsia"/>
        </w:rPr>
        <w:t xml:space="preserve"> je doba do splatnosti opce</w:t>
      </w:r>
    </w:p>
    <w:p w:rsidR="003A62F9" w:rsidRDefault="003A62F9" w:rsidP="003A62F9">
      <w:pPr>
        <w:spacing w:line="276" w:lineRule="auto"/>
        <w:jc w:val="both"/>
        <w:rPr>
          <w:rFonts w:eastAsiaTheme="minorEastAsia"/>
        </w:rPr>
      </w:pPr>
      <w:r>
        <w:rPr>
          <w:rFonts w:eastAsiaTheme="minorEastAsia"/>
        </w:rPr>
        <w:tab/>
      </w:r>
      <m:oMath>
        <m:r>
          <w:rPr>
            <w:rFonts w:ascii="Cambria Math" w:hAnsi="Cambria Math"/>
          </w:rPr>
          <m:t>N</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1</m:t>
                </m:r>
              </m:sub>
            </m:sSub>
          </m:e>
        </m:d>
      </m:oMath>
      <w:r>
        <w:rPr>
          <w:rFonts w:eastAsiaTheme="minorEastAsia"/>
        </w:rPr>
        <w:t xml:space="preserve"> a </w:t>
      </w:r>
      <m:oMath>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m:t>
        </m:r>
      </m:oMath>
      <w:r>
        <w:rPr>
          <w:rFonts w:eastAsiaTheme="minorEastAsia"/>
        </w:rPr>
        <w:t xml:space="preserve"> je distribuční funkce standardního normálního rozdělení</w:t>
      </w:r>
    </w:p>
    <w:p w:rsidR="003A62F9" w:rsidRDefault="003A62F9" w:rsidP="003A62F9">
      <w:pPr>
        <w:spacing w:line="276" w:lineRule="auto"/>
        <w:jc w:val="both"/>
        <w:rPr>
          <w:rFonts w:eastAsiaTheme="minorEastAsia"/>
        </w:rPr>
      </w:pPr>
      <w:r>
        <w:rPr>
          <w:rFonts w:eastAsiaTheme="minorEastAsia"/>
        </w:rPr>
        <w:tab/>
      </w:r>
      <m:oMath>
        <m:r>
          <w:rPr>
            <w:rFonts w:ascii="Cambria Math" w:hAnsi="Cambria Math"/>
          </w:rPr>
          <m:t>σ</m:t>
        </m:r>
      </m:oMath>
      <w:r>
        <w:rPr>
          <w:rFonts w:eastAsiaTheme="minorEastAsia"/>
        </w:rPr>
        <w:t xml:space="preserve"> je volatilita podkladového aktiva</w:t>
      </w:r>
    </w:p>
    <w:p w:rsidR="003A62F9" w:rsidRDefault="003A62F9" w:rsidP="006C391C">
      <w:pPr>
        <w:spacing w:line="276" w:lineRule="auto"/>
        <w:jc w:val="both"/>
      </w:pPr>
    </w:p>
    <w:p w:rsidR="006C391C" w:rsidRPr="003E2772" w:rsidRDefault="006C391C" w:rsidP="00983150">
      <w:pPr>
        <w:spacing w:after="240" w:line="276" w:lineRule="auto"/>
        <w:jc w:val="both"/>
      </w:pPr>
    </w:p>
    <w:p w:rsidR="00983150" w:rsidRPr="006C391C" w:rsidRDefault="00983150" w:rsidP="006C391C">
      <w:pPr>
        <w:spacing w:after="240"/>
      </w:pPr>
    </w:p>
    <w:p w:rsidR="00D6513E" w:rsidRDefault="00983150" w:rsidP="00AF55AD">
      <w:r w:rsidRPr="003E2772">
        <w:br/>
      </w:r>
    </w:p>
    <w:p w:rsidR="00D6513E" w:rsidRDefault="00D6513E" w:rsidP="00D6513E">
      <w:pPr>
        <w:rPr>
          <w:rFonts w:eastAsiaTheme="majorEastAsia"/>
          <w:sz w:val="28"/>
          <w:szCs w:val="26"/>
        </w:rPr>
      </w:pPr>
      <w:r>
        <w:br w:type="page"/>
      </w:r>
    </w:p>
    <w:p w:rsidR="00D6513E" w:rsidRDefault="00AF3362" w:rsidP="007616BB">
      <w:pPr>
        <w:pStyle w:val="Nadpis1"/>
      </w:pPr>
      <w:bookmarkStart w:id="78" w:name="_Toc354393072"/>
      <w:r>
        <w:lastRenderedPageBreak/>
        <w:t>ANALÝZA</w:t>
      </w:r>
      <w:r w:rsidR="00D6513E">
        <w:t xml:space="preserve"> MOŽNOSTÍ ZAJIŠTĚNÍ</w:t>
      </w:r>
      <w:r w:rsidR="007616BB">
        <w:t xml:space="preserve"> RIZIK POMOCÍ ÚROKOVÝCH A MĚNOVÝCH DERIVÁTŮ</w:t>
      </w:r>
      <w:bookmarkEnd w:id="78"/>
    </w:p>
    <w:p w:rsidR="00D6513E" w:rsidRPr="00DA750A" w:rsidRDefault="00D6513E" w:rsidP="00D6513E">
      <w:pPr>
        <w:spacing w:after="240" w:line="276" w:lineRule="auto"/>
      </w:pPr>
    </w:p>
    <w:p w:rsidR="00D6513E" w:rsidRDefault="00D6513E" w:rsidP="00D6513E">
      <w:pPr>
        <w:spacing w:after="240" w:line="276" w:lineRule="auto"/>
        <w:jc w:val="both"/>
      </w:pPr>
      <w:r>
        <w:t xml:space="preserve">Praktické zajištění měnového a úrokového rizika </w:t>
      </w:r>
      <w:r w:rsidR="00FA3818">
        <w:t>bude demonstrováno na modelovém příkladu. Bude řešena situace</w:t>
      </w:r>
      <w:r>
        <w:t xml:space="preserve">, do které se dnes může </w:t>
      </w:r>
      <w:r w:rsidR="00FA3818">
        <w:t xml:space="preserve">díky celosvětovému propojení trhů </w:t>
      </w:r>
      <w:r>
        <w:t xml:space="preserve">dostat </w:t>
      </w:r>
      <w:r w:rsidR="00B74AED">
        <w:t>jakákoli</w:t>
      </w:r>
      <w:r w:rsidR="00FA3818">
        <w:t xml:space="preserve"> obchodní </w:t>
      </w:r>
      <w:r>
        <w:t>společnost</w:t>
      </w:r>
      <w:r w:rsidR="00FE0D20">
        <w:t>.</w:t>
      </w:r>
      <w:r w:rsidR="00F427D1">
        <w:t xml:space="preserve"> Stabilita finančních toků v obchodních společnostech je</w:t>
      </w:r>
      <w:r w:rsidR="00B74AED">
        <w:t> </w:t>
      </w:r>
      <w:r w:rsidR="00F427D1">
        <w:t>jedním ze základních předpokladů jejich dlouhodobého úspěchu a konkurenceschopnosti.</w:t>
      </w:r>
    </w:p>
    <w:p w:rsidR="00D6513E" w:rsidRDefault="00D6513E" w:rsidP="00D6513E">
      <w:pPr>
        <w:spacing w:after="240" w:line="276" w:lineRule="auto"/>
        <w:jc w:val="both"/>
      </w:pPr>
      <w:r>
        <w:t xml:space="preserve">Uvažujme českou společnost </w:t>
      </w:r>
      <w:r w:rsidR="00361DA1">
        <w:t>Delor</w:t>
      </w:r>
      <w:r w:rsidR="00FE0D20">
        <w:t>, s.r.o.</w:t>
      </w:r>
      <w:r>
        <w:t>, vyrábějící e</w:t>
      </w:r>
      <w:r w:rsidR="00FE0D20">
        <w:t>lektroinstalace</w:t>
      </w:r>
      <w:r>
        <w:t>. Společnosti se na poli českého trhu velmi daří, a proto se</w:t>
      </w:r>
      <w:r w:rsidR="00FE0D20">
        <w:t> </w:t>
      </w:r>
      <w:r>
        <w:t>rozhodne rozšířit svou působn</w:t>
      </w:r>
      <w:r w:rsidR="00FE0D20">
        <w:t>ost na německý trh. Dohodne se</w:t>
      </w:r>
      <w:r>
        <w:t xml:space="preserve"> s německým distributorem, že mu bude </w:t>
      </w:r>
      <w:r w:rsidR="00FE0D20">
        <w:t xml:space="preserve">do Německa </w:t>
      </w:r>
      <w:r>
        <w:t>co půl roku dovážet své</w:t>
      </w:r>
      <w:r w:rsidR="00B74AED">
        <w:t> </w:t>
      </w:r>
      <w:r>
        <w:t>zboží v hodnotě 100 000 </w:t>
      </w:r>
      <w:r w:rsidR="00447807">
        <w:t>EUR</w:t>
      </w:r>
      <w:r>
        <w:t xml:space="preserve">, za které obchodní partner ihned zaplatí. </w:t>
      </w:r>
      <w:r w:rsidR="00FA3818">
        <w:t>V pravidelných pololetních intervalech tedy společnost bude mít</w:t>
      </w:r>
      <w:r>
        <w:t xml:space="preserve"> pravidelné eurové příjmy. </w:t>
      </w:r>
    </w:p>
    <w:p w:rsidR="00D6513E" w:rsidRDefault="00D6513E" w:rsidP="00D6513E">
      <w:pPr>
        <w:spacing w:after="240" w:line="276" w:lineRule="auto"/>
        <w:jc w:val="both"/>
      </w:pPr>
      <w:r>
        <w:t>Podnikání v oblasti elektroinstalací je rychle se vyvíjející a perspektivní</w:t>
      </w:r>
      <w:r w:rsidR="00FE0D20">
        <w:t xml:space="preserve"> oblastí</w:t>
      </w:r>
      <w:r>
        <w:t>. Proto se</w:t>
      </w:r>
      <w:r w:rsidR="00B74AED">
        <w:t> </w:t>
      </w:r>
      <w:r>
        <w:t xml:space="preserve">společnost </w:t>
      </w:r>
      <w:r w:rsidR="00361DA1">
        <w:t>Delor</w:t>
      </w:r>
      <w:r>
        <w:t xml:space="preserve"> rozhodne zavést do výroby nové inovace a investovat do</w:t>
      </w:r>
      <w:r w:rsidR="00FE0D20">
        <w:t> </w:t>
      </w:r>
      <w:r w:rsidR="00C63E57">
        <w:t xml:space="preserve">vývoje. Zároveň chce </w:t>
      </w:r>
      <w:r>
        <w:t xml:space="preserve">expandovat na další evropské trhy. K tomuto účelu však společnost potřebuje sjednat podnikatelský úvěr. Po zhodnocení všech </w:t>
      </w:r>
      <w:r w:rsidR="0055622B">
        <w:t>možností</w:t>
      </w:r>
      <w:r w:rsidR="00C63E57">
        <w:t xml:space="preserve"> </w:t>
      </w:r>
      <w:r>
        <w:t xml:space="preserve">nakonec příjme úvěr denominovaný v amerických dolarech (dále jen dolary) ve výši 1 320 000 </w:t>
      </w:r>
      <w:r w:rsidR="00447807">
        <w:t>USD</w:t>
      </w:r>
      <w:r>
        <w:t>. Tento úvěr bude splácet po</w:t>
      </w:r>
      <w:r w:rsidR="00B74AED">
        <w:t> </w:t>
      </w:r>
      <w:r>
        <w:t xml:space="preserve">dobu pěti let pololetními splátkami v pevné výši 132 000 </w:t>
      </w:r>
      <w:r w:rsidR="00447807">
        <w:t>USD</w:t>
      </w:r>
      <w:r>
        <w:t>. K pevně stanové splátce pak bude připočítáván úrok, který bude odvozený od</w:t>
      </w:r>
      <w:r w:rsidR="0055622B">
        <w:t> </w:t>
      </w:r>
      <w:r>
        <w:t>referenční úrokové sazby 6M</w:t>
      </w:r>
      <w:r w:rsidR="00C63E57">
        <w:t> </w:t>
      </w:r>
      <w:r>
        <w:t>LIBOR</w:t>
      </w:r>
      <w:r w:rsidR="00B74AED">
        <w:t> </w:t>
      </w:r>
      <w:r>
        <w:t>USD + 1 %</w:t>
      </w:r>
      <w:r w:rsidR="00C63E57">
        <w:t xml:space="preserve"> p.a. Úvěr je uzavřen</w:t>
      </w:r>
      <w:r w:rsidR="006C3B8C">
        <w:t xml:space="preserve"> ke dni 7. 2. </w:t>
      </w:r>
      <w:r>
        <w:t xml:space="preserve">2013, </w:t>
      </w:r>
      <w:r w:rsidR="006C3B8C">
        <w:t>první splátka úvěru proběhne 7. 8. </w:t>
      </w:r>
      <w:r>
        <w:t>2013.</w:t>
      </w:r>
    </w:p>
    <w:p w:rsidR="00D6513E" w:rsidRDefault="0055622B" w:rsidP="00D6513E">
      <w:pPr>
        <w:spacing w:after="240" w:line="276" w:lineRule="auto"/>
        <w:jc w:val="both"/>
      </w:pPr>
      <w:r>
        <w:t>M</w:t>
      </w:r>
      <w:r w:rsidR="00D6513E">
        <w:t>ěnový kurz eura vůči ameri</w:t>
      </w:r>
      <w:r w:rsidR="006C3B8C">
        <w:t>ckému dolaru ke dni 7. 2. </w:t>
      </w:r>
      <w:r>
        <w:t>2013 činí</w:t>
      </w:r>
      <w:r w:rsidR="006C3B8C">
        <w:t xml:space="preserve"> 0,7464 </w:t>
      </w:r>
      <w:r w:rsidR="00D6513E">
        <w:t>EUR/USD. Za</w:t>
      </w:r>
      <w:r>
        <w:t> </w:t>
      </w:r>
      <w:r w:rsidR="006C3B8C">
        <w:t>inkasovaných 100 000 </w:t>
      </w:r>
      <w:r w:rsidR="00447807">
        <w:t>EUR</w:t>
      </w:r>
      <w:r w:rsidR="00D6513E">
        <w:t xml:space="preserve"> </w:t>
      </w:r>
      <w:r>
        <w:t xml:space="preserve">by tedy </w:t>
      </w:r>
      <w:r w:rsidR="00C63E57">
        <w:t xml:space="preserve">společnost </w:t>
      </w:r>
      <w:r w:rsidR="00361DA1">
        <w:t>Delor</w:t>
      </w:r>
      <w:r>
        <w:t xml:space="preserve"> </w:t>
      </w:r>
      <w:r w:rsidR="00B74AED">
        <w:t>získala</w:t>
      </w:r>
      <w:r w:rsidR="00D6513E">
        <w:t xml:space="preserve"> v přepočtu 133 976,42 </w:t>
      </w:r>
      <w:r w:rsidR="00447807">
        <w:t>USD</w:t>
      </w:r>
      <w:r w:rsidR="00D6513E">
        <w:t xml:space="preserve">. Díky aktuálně relativně si odpovídajícím platbám se společnost rozhodne </w:t>
      </w:r>
      <w:r>
        <w:t xml:space="preserve">pevné </w:t>
      </w:r>
      <w:r w:rsidR="00D6513E">
        <w:t>splátky</w:t>
      </w:r>
      <w:r>
        <w:t xml:space="preserve"> sjednaného</w:t>
      </w:r>
      <w:r w:rsidR="00D6513E">
        <w:t xml:space="preserve"> úvěru hradit inkasovaným příjmem z Německa.</w:t>
      </w:r>
    </w:p>
    <w:p w:rsidR="00D6513E" w:rsidRDefault="00D6513E" w:rsidP="00D6513E">
      <w:pPr>
        <w:spacing w:after="240" w:line="276" w:lineRule="auto"/>
        <w:jc w:val="both"/>
      </w:pPr>
      <w:r>
        <w:t xml:space="preserve">S ohledem na popsanou situaci však nyní </w:t>
      </w:r>
      <w:r w:rsidR="00361DA1">
        <w:t>Delor</w:t>
      </w:r>
      <w:r w:rsidR="00B74AED">
        <w:t xml:space="preserve"> stojí před dvěma problémy – č</w:t>
      </w:r>
      <w:r>
        <w:t>elí</w:t>
      </w:r>
      <w:r w:rsidR="00B74AED">
        <w:t xml:space="preserve"> </w:t>
      </w:r>
      <w:r>
        <w:t>měnovému a</w:t>
      </w:r>
      <w:r w:rsidR="00B74AED">
        <w:t> </w:t>
      </w:r>
      <w:r>
        <w:t xml:space="preserve">úrokovému riziku. Jak již bylo zmíněno, v současné době </w:t>
      </w:r>
      <w:r w:rsidR="0055622B">
        <w:t>by společnost za inkasovaná eura získala</w:t>
      </w:r>
      <w:r w:rsidR="006C3B8C">
        <w:t xml:space="preserve"> 133 976,42 </w:t>
      </w:r>
      <w:r w:rsidR="00447807">
        <w:t>USD</w:t>
      </w:r>
      <w:r>
        <w:t xml:space="preserve">, což </w:t>
      </w:r>
      <w:r w:rsidR="0055622B">
        <w:t>by plně pokrylo</w:t>
      </w:r>
      <w:r>
        <w:t xml:space="preserve"> jednu fixní </w:t>
      </w:r>
      <w:r w:rsidR="0055622B">
        <w:t>platbu</w:t>
      </w:r>
      <w:r>
        <w:t xml:space="preserve"> splátky úvěru. Sumu odpovídající variabilní složce splátky, tedy velikosti úroku, tato </w:t>
      </w:r>
      <w:r w:rsidR="0055622B">
        <w:t>částka však nepokryje. Bude</w:t>
      </w:r>
      <w:r>
        <w:t xml:space="preserve"> nutné, aby společnost tuto variabilní část splátky pokryla směnou disponibil</w:t>
      </w:r>
      <w:r w:rsidR="0053328E">
        <w:t>ní hotovosti v českých korunách</w:t>
      </w:r>
      <w:r w:rsidR="0055622B">
        <w:t xml:space="preserve"> </w:t>
      </w:r>
      <w:r>
        <w:t>za dolar</w:t>
      </w:r>
      <w:r w:rsidR="0053328E">
        <w:t>y</w:t>
      </w:r>
      <w:r>
        <w:t xml:space="preserve">. V konečném důsledku tedy </w:t>
      </w:r>
      <w:r w:rsidR="00361DA1">
        <w:t>Delor</w:t>
      </w:r>
      <w:r>
        <w:t xml:space="preserve"> čelí hned dvěma </w:t>
      </w:r>
      <w:r w:rsidR="0053328E">
        <w:t>variantám měnového rizika</w:t>
      </w:r>
      <w:r>
        <w:t xml:space="preserve">: pohybu kurzu měnového páru EUR/USD a </w:t>
      </w:r>
      <w:r w:rsidR="0053328E">
        <w:t xml:space="preserve">pohybu kurzu měnového páru </w:t>
      </w:r>
      <w:r>
        <w:t xml:space="preserve">CZK/USD. V obou případech </w:t>
      </w:r>
      <w:r w:rsidR="0055622B">
        <w:t>společnost čelí</w:t>
      </w:r>
      <w:r>
        <w:t xml:space="preserve"> riziku, že </w:t>
      </w:r>
      <w:r w:rsidR="0055622B">
        <w:t xml:space="preserve">dojde k posílení </w:t>
      </w:r>
      <w:r>
        <w:t>dolar</w:t>
      </w:r>
      <w:r w:rsidR="0055622B">
        <w:t>u</w:t>
      </w:r>
      <w:r>
        <w:t xml:space="preserve"> a </w:t>
      </w:r>
      <w:r w:rsidR="0055622B">
        <w:t>tím</w:t>
      </w:r>
      <w:r>
        <w:t xml:space="preserve"> k</w:t>
      </w:r>
      <w:r w:rsidR="0055622B">
        <w:t> </w:t>
      </w:r>
      <w:r>
        <w:t>růstu</w:t>
      </w:r>
      <w:r w:rsidR="0055622B">
        <w:t xml:space="preserve"> měnového</w:t>
      </w:r>
      <w:r w:rsidR="0053328E">
        <w:t xml:space="preserve"> kurzu. Obdobně lze říci</w:t>
      </w:r>
      <w:r>
        <w:t>, že hrozí riziko oslabení eura a české koruny.</w:t>
      </w:r>
    </w:p>
    <w:p w:rsidR="00D6513E" w:rsidRDefault="0053328E" w:rsidP="00D6513E">
      <w:pPr>
        <w:spacing w:after="240" w:line="276" w:lineRule="auto"/>
        <w:jc w:val="both"/>
      </w:pPr>
      <w:r>
        <w:t>Úrokovým</w:t>
      </w:r>
      <w:r w:rsidR="00D6513E">
        <w:t xml:space="preserve"> rizikem, kterému je </w:t>
      </w:r>
      <w:r w:rsidR="00361DA1">
        <w:t>Delor</w:t>
      </w:r>
      <w:r w:rsidR="00D6513E">
        <w:t xml:space="preserve"> vystaven, je riziko růstu referenční úrokové sazby, kterou je úročen čerpaný úvěr. Jedná se tedy o riziko růstu úrokové sazby 6M LIBOR USD (dále </w:t>
      </w:r>
      <w:r>
        <w:t xml:space="preserve">jen </w:t>
      </w:r>
      <w:r w:rsidR="006C3B8C">
        <w:t>6M LIBOR). Ke dni 7. 2. 2013 je tato sazba rovna 0,47 </w:t>
      </w:r>
      <w:r w:rsidR="00D6513E">
        <w:t xml:space="preserve">%. </w:t>
      </w:r>
      <w:r>
        <w:t>Jelikož jsou v současné době úrokové sazby obecně velmi nízké, má s</w:t>
      </w:r>
      <w:r w:rsidR="00D6513E">
        <w:t xml:space="preserve">polečnost </w:t>
      </w:r>
      <w:r w:rsidR="00361DA1">
        <w:t>Delor</w:t>
      </w:r>
      <w:r w:rsidR="00D6513E">
        <w:t xml:space="preserve"> reálné obavy, že může </w:t>
      </w:r>
      <w:r>
        <w:t xml:space="preserve">dojít </w:t>
      </w:r>
      <w:r w:rsidR="00D6513E">
        <w:lastRenderedPageBreak/>
        <w:t>v horizontu pěti let k nárůstu t</w:t>
      </w:r>
      <w:r w:rsidR="0055622B">
        <w:t>é</w:t>
      </w:r>
      <w:r>
        <w:t>to sazby, což by znamenalo zvýšení nákladů na uzavřený úvěru</w:t>
      </w:r>
      <w:r w:rsidR="00D6513E">
        <w:t>.</w:t>
      </w:r>
    </w:p>
    <w:p w:rsidR="0055622B" w:rsidRDefault="0055622B" w:rsidP="00D6513E">
      <w:pPr>
        <w:spacing w:after="240" w:line="276" w:lineRule="auto"/>
        <w:jc w:val="both"/>
      </w:pPr>
    </w:p>
    <w:p w:rsidR="0055622B" w:rsidRPr="0055622B" w:rsidRDefault="0055622B" w:rsidP="0055622B">
      <w:pPr>
        <w:pStyle w:val="Titulek"/>
        <w:keepNext/>
        <w:spacing w:line="276" w:lineRule="auto"/>
        <w:jc w:val="both"/>
        <w:rPr>
          <w:rFonts w:ascii="Times New Roman" w:hAnsi="Times New Roman" w:cs="Times New Roman"/>
          <w:b w:val="0"/>
          <w:color w:val="auto"/>
          <w:sz w:val="24"/>
        </w:rPr>
      </w:pPr>
      <w:bookmarkStart w:id="79" w:name="_Toc354393020"/>
      <w:r w:rsidRPr="0055622B">
        <w:rPr>
          <w:rFonts w:ascii="Times New Roman" w:hAnsi="Times New Roman" w:cs="Times New Roman"/>
          <w:b w:val="0"/>
          <w:color w:val="auto"/>
          <w:sz w:val="24"/>
        </w:rPr>
        <w:t xml:space="preserve">Obr. </w:t>
      </w:r>
      <w:r w:rsidR="00FA567C" w:rsidRPr="0055622B">
        <w:rPr>
          <w:rFonts w:ascii="Times New Roman" w:hAnsi="Times New Roman" w:cs="Times New Roman"/>
          <w:b w:val="0"/>
          <w:color w:val="auto"/>
          <w:sz w:val="24"/>
        </w:rPr>
        <w:fldChar w:fldCharType="begin"/>
      </w:r>
      <w:r w:rsidRPr="0055622B">
        <w:rPr>
          <w:rFonts w:ascii="Times New Roman" w:hAnsi="Times New Roman" w:cs="Times New Roman"/>
          <w:b w:val="0"/>
          <w:color w:val="auto"/>
          <w:sz w:val="24"/>
        </w:rPr>
        <w:instrText xml:space="preserve"> SEQ Obr. \* ARABIC </w:instrText>
      </w:r>
      <w:r w:rsidR="00FA567C" w:rsidRPr="0055622B">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14</w:t>
      </w:r>
      <w:r w:rsidR="00FA567C" w:rsidRPr="0055622B">
        <w:rPr>
          <w:rFonts w:ascii="Times New Roman" w:hAnsi="Times New Roman" w:cs="Times New Roman"/>
          <w:b w:val="0"/>
          <w:color w:val="auto"/>
          <w:sz w:val="24"/>
        </w:rPr>
        <w:fldChar w:fldCharType="end"/>
      </w:r>
      <w:r w:rsidRPr="0055622B">
        <w:rPr>
          <w:rFonts w:ascii="Times New Roman" w:hAnsi="Times New Roman" w:cs="Times New Roman"/>
          <w:b w:val="0"/>
          <w:color w:val="auto"/>
          <w:sz w:val="24"/>
        </w:rPr>
        <w:t>: Roční vývoj úrokové sazby 6M LIBOR USD</w:t>
      </w:r>
      <w:bookmarkEnd w:id="79"/>
    </w:p>
    <w:p w:rsidR="00D6513E" w:rsidRDefault="00D6513E" w:rsidP="00D6513E">
      <w:pPr>
        <w:keepNext/>
        <w:spacing w:after="240" w:line="276" w:lineRule="auto"/>
        <w:jc w:val="center"/>
      </w:pPr>
      <w:r>
        <w:rPr>
          <w:noProof/>
          <w:lang w:eastAsia="cs-CZ"/>
        </w:rPr>
        <w:drawing>
          <wp:inline distT="0" distB="0" distL="0" distR="0">
            <wp:extent cx="4657725" cy="2286000"/>
            <wp:effectExtent l="19050" t="0" r="9525" b="0"/>
            <wp:docPr id="20"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4657725" cy="2286000"/>
                    </a:xfrm>
                    <a:prstGeom prst="rect">
                      <a:avLst/>
                    </a:prstGeom>
                    <a:noFill/>
                    <a:ln w="9525">
                      <a:noFill/>
                      <a:miter lim="800000"/>
                      <a:headEnd/>
                      <a:tailEnd/>
                    </a:ln>
                  </pic:spPr>
                </pic:pic>
              </a:graphicData>
            </a:graphic>
          </wp:inline>
        </w:drawing>
      </w:r>
    </w:p>
    <w:p w:rsidR="00D6513E" w:rsidRPr="00B74AED" w:rsidRDefault="0055622B" w:rsidP="00EA1E1F">
      <w:pPr>
        <w:spacing w:after="240" w:line="276" w:lineRule="auto"/>
        <w:jc w:val="both"/>
        <w:rPr>
          <w:i/>
          <w:sz w:val="20"/>
          <w:szCs w:val="20"/>
        </w:rPr>
      </w:pPr>
      <w:r w:rsidRPr="00B74AED">
        <w:rPr>
          <w:i/>
          <w:sz w:val="20"/>
          <w:szCs w:val="20"/>
        </w:rPr>
        <w:t>Pramen</w:t>
      </w:r>
      <w:r w:rsidR="00F000E4">
        <w:rPr>
          <w:i/>
          <w:sz w:val="20"/>
          <w:szCs w:val="20"/>
        </w:rPr>
        <w:t xml:space="preserve">: </w:t>
      </w:r>
      <w:r w:rsidR="00042B21">
        <w:rPr>
          <w:i/>
          <w:sz w:val="20"/>
          <w:szCs w:val="20"/>
        </w:rPr>
        <w:t xml:space="preserve">BLOOMBERG: Market Data. </w:t>
      </w:r>
      <w:r w:rsidR="00F07151" w:rsidRPr="00B74AED">
        <w:rPr>
          <w:i/>
          <w:iCs/>
          <w:sz w:val="20"/>
          <w:szCs w:val="20"/>
        </w:rPr>
        <w:t>Bloomberg</w:t>
      </w:r>
      <w:r w:rsidR="00F07151" w:rsidRPr="00B74AED">
        <w:rPr>
          <w:i/>
          <w:sz w:val="20"/>
          <w:szCs w:val="20"/>
        </w:rPr>
        <w:t xml:space="preserve"> [online]. [cit. 2013-04-07]. Dostupné </w:t>
      </w:r>
      <w:r w:rsidR="003E35B7" w:rsidRPr="00B74AED">
        <w:rPr>
          <w:i/>
          <w:sz w:val="20"/>
          <w:szCs w:val="20"/>
        </w:rPr>
        <w:t>na WWW</w:t>
      </w:r>
      <w:r w:rsidR="00EA1E1F" w:rsidRPr="00B74AED">
        <w:rPr>
          <w:i/>
          <w:sz w:val="20"/>
          <w:szCs w:val="20"/>
        </w:rPr>
        <w:t>: &lt;</w:t>
      </w:r>
      <w:r w:rsidRPr="00B74AED">
        <w:rPr>
          <w:i/>
          <w:sz w:val="20"/>
          <w:szCs w:val="20"/>
        </w:rPr>
        <w:t>http://www.bloomberg.com/quote/US0006:IND</w:t>
      </w:r>
      <w:r w:rsidR="00EA1E1F" w:rsidRPr="00B74AED">
        <w:rPr>
          <w:i/>
          <w:sz w:val="20"/>
          <w:szCs w:val="20"/>
        </w:rPr>
        <w:t>&gt;</w:t>
      </w:r>
    </w:p>
    <w:p w:rsidR="0055622B" w:rsidRPr="0055622B" w:rsidRDefault="0055622B" w:rsidP="0055622B">
      <w:pPr>
        <w:spacing w:after="240" w:line="276" w:lineRule="auto"/>
        <w:jc w:val="both"/>
      </w:pPr>
    </w:p>
    <w:p w:rsidR="00D6513E" w:rsidRDefault="00D6513E" w:rsidP="00D6513E">
      <w:pPr>
        <w:spacing w:after="240" w:line="276" w:lineRule="auto"/>
        <w:jc w:val="both"/>
      </w:pPr>
      <w:r>
        <w:t xml:space="preserve">K zajištění zmiňovaných rizik se </w:t>
      </w:r>
      <w:r w:rsidR="0055622B">
        <w:t>společnost</w:t>
      </w:r>
      <w:r>
        <w:t xml:space="preserve"> </w:t>
      </w:r>
      <w:r w:rsidR="00361DA1">
        <w:t>Delor</w:t>
      </w:r>
      <w:r>
        <w:t xml:space="preserve"> rozhodne použít finančních derivátů. Zajišťovat se bude v obou případech na dobu pěti let, tedy než dojde k plánovanému splacení celého úvěru. Konkrétní způsob zajištění a výběr nejlepší možnosti </w:t>
      </w:r>
      <w:r w:rsidR="0053328E">
        <w:t>bude demonstrováno</w:t>
      </w:r>
      <w:r>
        <w:t xml:space="preserve"> v následujících kapitolách. </w:t>
      </w:r>
    </w:p>
    <w:p w:rsidR="00D6513E" w:rsidRDefault="00B74AED" w:rsidP="00D6513E">
      <w:pPr>
        <w:spacing w:after="240" w:line="276" w:lineRule="auto"/>
        <w:jc w:val="both"/>
      </w:pPr>
      <w:r>
        <w:t>Pro výpočet dnů bude používána</w:t>
      </w:r>
      <w:r w:rsidR="00D6513E">
        <w:t xml:space="preserve"> konvenc</w:t>
      </w:r>
      <w:r w:rsidR="0053328E">
        <w:t>e</w:t>
      </w:r>
      <w:r w:rsidR="00D6513E">
        <w:t xml:space="preserve"> Act/360. Při počítání </w:t>
      </w:r>
      <w:r w:rsidR="0055622B">
        <w:t xml:space="preserve">dnů </w:t>
      </w:r>
      <w:r w:rsidR="0053328E">
        <w:t>tedy bude</w:t>
      </w:r>
      <w:r w:rsidR="00D6513E">
        <w:t xml:space="preserve"> </w:t>
      </w:r>
      <w:r w:rsidR="0053328E">
        <w:t>v čitateli skutečný počet dní v měsíci</w:t>
      </w:r>
      <w:r w:rsidR="00D6513E">
        <w:t xml:space="preserve">, ve jmenovateli bude </w:t>
      </w:r>
      <w:r w:rsidR="0055622B">
        <w:t xml:space="preserve">fixně hodnota </w:t>
      </w:r>
      <w:r w:rsidR="00D6513E">
        <w:t>360 dní.</w:t>
      </w:r>
    </w:p>
    <w:p w:rsidR="00D6513E" w:rsidRDefault="00D6513E" w:rsidP="00D6513E">
      <w:pPr>
        <w:spacing w:after="240" w:line="276" w:lineRule="auto"/>
        <w:jc w:val="both"/>
      </w:pPr>
      <w:r>
        <w:t xml:space="preserve">Pro zhodnocení a porovnání jednotlivých možností zajištění </w:t>
      </w:r>
      <w:r w:rsidR="0053328E">
        <w:t>je v Tabulce 3 uvedena simulace možného</w:t>
      </w:r>
      <w:r>
        <w:t xml:space="preserve"> vývoj</w:t>
      </w:r>
      <w:r w:rsidR="0053328E">
        <w:t>e</w:t>
      </w:r>
      <w:r>
        <w:t xml:space="preserve"> úrokové sazby 6M LIBOR a měnového páru EUR/USD</w:t>
      </w:r>
      <w:r>
        <w:rPr>
          <w:rStyle w:val="Znakapoznpodarou"/>
          <w:rFonts w:eastAsiaTheme="majorEastAsia"/>
        </w:rPr>
        <w:footnoteReference w:id="117"/>
      </w:r>
      <w:r w:rsidR="0055622B">
        <w:t xml:space="preserve"> na dobu pěti let</w:t>
      </w:r>
      <w:r w:rsidR="00EF1622">
        <w:rPr>
          <w:rStyle w:val="Znakapoznpodarou"/>
        </w:rPr>
        <w:footnoteReference w:id="118"/>
      </w:r>
      <w:r>
        <w:t xml:space="preserve">. </w:t>
      </w:r>
    </w:p>
    <w:p w:rsidR="00EA1E1F" w:rsidRDefault="00EA1E1F">
      <w:pPr>
        <w:suppressAutoHyphens w:val="0"/>
        <w:spacing w:after="200" w:line="276" w:lineRule="auto"/>
        <w:rPr>
          <w:rFonts w:eastAsiaTheme="minorHAnsi"/>
          <w:bCs/>
          <w:szCs w:val="18"/>
          <w:lang w:eastAsia="en-US"/>
        </w:rPr>
      </w:pPr>
      <w:r>
        <w:rPr>
          <w:b/>
        </w:rPr>
        <w:br w:type="page"/>
      </w:r>
    </w:p>
    <w:p w:rsidR="0055622B" w:rsidRPr="0055622B" w:rsidRDefault="0055622B" w:rsidP="0055622B">
      <w:pPr>
        <w:pStyle w:val="Titulek"/>
        <w:keepNext/>
        <w:spacing w:line="276" w:lineRule="auto"/>
        <w:jc w:val="both"/>
        <w:rPr>
          <w:rFonts w:ascii="Times New Roman" w:hAnsi="Times New Roman" w:cs="Times New Roman"/>
          <w:b w:val="0"/>
          <w:color w:val="auto"/>
          <w:sz w:val="24"/>
        </w:rPr>
      </w:pPr>
      <w:bookmarkStart w:id="80" w:name="_Toc354393026"/>
      <w:r w:rsidRPr="0055622B">
        <w:rPr>
          <w:rFonts w:ascii="Times New Roman" w:hAnsi="Times New Roman" w:cs="Times New Roman"/>
          <w:b w:val="0"/>
          <w:color w:val="auto"/>
          <w:sz w:val="24"/>
        </w:rPr>
        <w:lastRenderedPageBreak/>
        <w:t xml:space="preserve">Tabulka </w:t>
      </w:r>
      <w:r w:rsidR="00FA567C" w:rsidRPr="0055622B">
        <w:rPr>
          <w:rFonts w:ascii="Times New Roman" w:hAnsi="Times New Roman" w:cs="Times New Roman"/>
          <w:b w:val="0"/>
          <w:color w:val="auto"/>
          <w:sz w:val="24"/>
        </w:rPr>
        <w:fldChar w:fldCharType="begin"/>
      </w:r>
      <w:r w:rsidRPr="0055622B">
        <w:rPr>
          <w:rFonts w:ascii="Times New Roman" w:hAnsi="Times New Roman" w:cs="Times New Roman"/>
          <w:b w:val="0"/>
          <w:color w:val="auto"/>
          <w:sz w:val="24"/>
        </w:rPr>
        <w:instrText xml:space="preserve"> SEQ Tabulka \* ARABIC </w:instrText>
      </w:r>
      <w:r w:rsidR="00FA567C" w:rsidRPr="0055622B">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3</w:t>
      </w:r>
      <w:r w:rsidR="00FA567C" w:rsidRPr="0055622B">
        <w:rPr>
          <w:rFonts w:ascii="Times New Roman" w:hAnsi="Times New Roman" w:cs="Times New Roman"/>
          <w:b w:val="0"/>
          <w:color w:val="auto"/>
          <w:sz w:val="24"/>
        </w:rPr>
        <w:fldChar w:fldCharType="end"/>
      </w:r>
      <w:r w:rsidRPr="0055622B">
        <w:rPr>
          <w:rFonts w:ascii="Times New Roman" w:hAnsi="Times New Roman" w:cs="Times New Roman"/>
          <w:b w:val="0"/>
          <w:color w:val="auto"/>
          <w:sz w:val="24"/>
        </w:rPr>
        <w:t>: Simulovaný vývoj úrokových sazeb a měnového kurzu</w:t>
      </w:r>
      <w:bookmarkEnd w:id="80"/>
    </w:p>
    <w:tbl>
      <w:tblPr>
        <w:tblStyle w:val="Svtlstnovn1"/>
        <w:tblW w:w="5717" w:type="dxa"/>
        <w:jc w:val="center"/>
        <w:tblLook w:val="04A0"/>
      </w:tblPr>
      <w:tblGrid>
        <w:gridCol w:w="1748"/>
        <w:gridCol w:w="1675"/>
        <w:gridCol w:w="2294"/>
      </w:tblGrid>
      <w:tr w:rsidR="00D6513E" w:rsidRPr="00104AD2" w:rsidTr="007A35D1">
        <w:trPr>
          <w:cnfStyle w:val="100000000000"/>
          <w:trHeight w:val="300"/>
          <w:jc w:val="center"/>
        </w:trPr>
        <w:tc>
          <w:tcPr>
            <w:cnfStyle w:val="001000000000"/>
            <w:tcW w:w="1748" w:type="dxa"/>
            <w:noWrap/>
            <w:vAlign w:val="center"/>
            <w:hideMark/>
          </w:tcPr>
          <w:p w:rsidR="00D6513E" w:rsidRPr="00104AD2" w:rsidRDefault="00D6513E" w:rsidP="001433CF">
            <w:pPr>
              <w:spacing w:line="276" w:lineRule="auto"/>
              <w:jc w:val="center"/>
              <w:rPr>
                <w:color w:val="000000"/>
                <w:sz w:val="24"/>
                <w:lang w:eastAsia="cs-CZ"/>
              </w:rPr>
            </w:pPr>
            <w:r w:rsidRPr="00104AD2">
              <w:rPr>
                <w:color w:val="000000"/>
                <w:sz w:val="24"/>
                <w:lang w:eastAsia="cs-CZ"/>
              </w:rPr>
              <w:t>Datum</w:t>
            </w:r>
          </w:p>
        </w:tc>
        <w:tc>
          <w:tcPr>
            <w:tcW w:w="1675" w:type="dxa"/>
            <w:noWrap/>
            <w:vAlign w:val="center"/>
            <w:hideMark/>
          </w:tcPr>
          <w:p w:rsidR="00D6513E" w:rsidRPr="00104AD2" w:rsidRDefault="00D6513E" w:rsidP="001433CF">
            <w:pPr>
              <w:spacing w:line="276" w:lineRule="auto"/>
              <w:jc w:val="center"/>
              <w:cnfStyle w:val="100000000000"/>
              <w:rPr>
                <w:color w:val="000000"/>
                <w:sz w:val="24"/>
                <w:lang w:eastAsia="cs-CZ"/>
              </w:rPr>
            </w:pPr>
            <w:r w:rsidRPr="00104AD2">
              <w:rPr>
                <w:color w:val="000000"/>
                <w:sz w:val="24"/>
                <w:lang w:eastAsia="cs-CZ"/>
              </w:rPr>
              <w:t>EUR/USD</w:t>
            </w:r>
          </w:p>
        </w:tc>
        <w:tc>
          <w:tcPr>
            <w:tcW w:w="2294" w:type="dxa"/>
            <w:noWrap/>
            <w:vAlign w:val="center"/>
            <w:hideMark/>
          </w:tcPr>
          <w:p w:rsidR="00D6513E" w:rsidRPr="00104AD2" w:rsidRDefault="007A35D1" w:rsidP="007A35D1">
            <w:pPr>
              <w:spacing w:line="276" w:lineRule="auto"/>
              <w:jc w:val="center"/>
              <w:cnfStyle w:val="100000000000"/>
              <w:rPr>
                <w:color w:val="000000"/>
                <w:sz w:val="24"/>
                <w:lang w:eastAsia="cs-CZ"/>
              </w:rPr>
            </w:pPr>
            <w:r>
              <w:rPr>
                <w:color w:val="000000"/>
                <w:sz w:val="24"/>
                <w:lang w:eastAsia="cs-CZ"/>
              </w:rPr>
              <w:t>6M LIBOR (%)</w:t>
            </w:r>
          </w:p>
        </w:tc>
      </w:tr>
      <w:tr w:rsidR="00D6513E" w:rsidRPr="00104AD2" w:rsidTr="007A35D1">
        <w:trPr>
          <w:cnfStyle w:val="000000100000"/>
          <w:trHeight w:val="300"/>
          <w:jc w:val="center"/>
        </w:trPr>
        <w:tc>
          <w:tcPr>
            <w:cnfStyle w:val="001000000000"/>
            <w:tcW w:w="1748" w:type="dxa"/>
            <w:shd w:val="clear" w:color="auto" w:fill="D9D9D9" w:themeFill="background1" w:themeFillShade="D9"/>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7. 2. 2013</w:t>
            </w:r>
          </w:p>
        </w:tc>
        <w:tc>
          <w:tcPr>
            <w:tcW w:w="1675" w:type="dxa"/>
            <w:shd w:val="clear" w:color="auto" w:fill="D9D9D9" w:themeFill="background1" w:themeFillShade="D9"/>
            <w:noWrap/>
            <w:vAlign w:val="center"/>
            <w:hideMark/>
          </w:tcPr>
          <w:p w:rsidR="00D6513E" w:rsidRPr="00104AD2" w:rsidRDefault="00D6513E" w:rsidP="001433CF">
            <w:pPr>
              <w:spacing w:line="276" w:lineRule="auto"/>
              <w:jc w:val="center"/>
              <w:cnfStyle w:val="000000100000"/>
              <w:rPr>
                <w:color w:val="000000"/>
                <w:sz w:val="24"/>
                <w:lang w:eastAsia="cs-CZ"/>
              </w:rPr>
            </w:pPr>
            <w:r w:rsidRPr="00104AD2">
              <w:rPr>
                <w:color w:val="000000"/>
                <w:sz w:val="24"/>
                <w:lang w:eastAsia="cs-CZ"/>
              </w:rPr>
              <w:t>0,7464</w:t>
            </w:r>
          </w:p>
        </w:tc>
        <w:tc>
          <w:tcPr>
            <w:tcW w:w="2294" w:type="dxa"/>
            <w:shd w:val="clear" w:color="auto" w:fill="D9D9D9" w:themeFill="background1" w:themeFillShade="D9"/>
            <w:noWrap/>
            <w:vAlign w:val="center"/>
            <w:hideMark/>
          </w:tcPr>
          <w:p w:rsidR="00D6513E" w:rsidRPr="00885590" w:rsidRDefault="00D6513E" w:rsidP="001433CF">
            <w:pPr>
              <w:spacing w:line="276" w:lineRule="auto"/>
              <w:jc w:val="center"/>
              <w:cnfStyle w:val="000000100000"/>
              <w:rPr>
                <w:color w:val="000000"/>
                <w:sz w:val="24"/>
              </w:rPr>
            </w:pPr>
            <w:r w:rsidRPr="00885590">
              <w:rPr>
                <w:color w:val="000000"/>
                <w:sz w:val="24"/>
              </w:rPr>
              <w:t>0,47</w:t>
            </w:r>
          </w:p>
        </w:tc>
      </w:tr>
      <w:tr w:rsidR="00D6513E" w:rsidRPr="00104AD2" w:rsidTr="007A35D1">
        <w:trPr>
          <w:trHeight w:val="300"/>
          <w:jc w:val="center"/>
        </w:trPr>
        <w:tc>
          <w:tcPr>
            <w:cnfStyle w:val="001000000000"/>
            <w:tcW w:w="1748" w:type="dxa"/>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7. 8. 2013</w:t>
            </w:r>
          </w:p>
        </w:tc>
        <w:tc>
          <w:tcPr>
            <w:tcW w:w="1675" w:type="dxa"/>
            <w:noWrap/>
            <w:vAlign w:val="center"/>
            <w:hideMark/>
          </w:tcPr>
          <w:p w:rsidR="00D6513E" w:rsidRPr="00104AD2" w:rsidRDefault="00D6513E" w:rsidP="001433CF">
            <w:pPr>
              <w:spacing w:line="276" w:lineRule="auto"/>
              <w:jc w:val="center"/>
              <w:cnfStyle w:val="000000000000"/>
              <w:rPr>
                <w:color w:val="000000"/>
                <w:sz w:val="24"/>
                <w:lang w:eastAsia="cs-CZ"/>
              </w:rPr>
            </w:pPr>
            <w:r w:rsidRPr="00104AD2">
              <w:rPr>
                <w:color w:val="000000"/>
                <w:sz w:val="24"/>
                <w:lang w:eastAsia="cs-CZ"/>
              </w:rPr>
              <w:t>0,9034</w:t>
            </w:r>
          </w:p>
        </w:tc>
        <w:tc>
          <w:tcPr>
            <w:tcW w:w="2294" w:type="dxa"/>
            <w:noWrap/>
            <w:vAlign w:val="center"/>
            <w:hideMark/>
          </w:tcPr>
          <w:p w:rsidR="00D6513E" w:rsidRPr="00885590" w:rsidRDefault="00D6513E" w:rsidP="001433CF">
            <w:pPr>
              <w:spacing w:line="276" w:lineRule="auto"/>
              <w:jc w:val="center"/>
              <w:cnfStyle w:val="000000000000"/>
              <w:rPr>
                <w:color w:val="000000"/>
                <w:sz w:val="24"/>
              </w:rPr>
            </w:pPr>
            <w:r w:rsidRPr="00885590">
              <w:rPr>
                <w:color w:val="000000"/>
                <w:sz w:val="24"/>
              </w:rPr>
              <w:t>0,51</w:t>
            </w:r>
          </w:p>
        </w:tc>
      </w:tr>
      <w:tr w:rsidR="00D6513E" w:rsidRPr="00104AD2" w:rsidTr="007A35D1">
        <w:trPr>
          <w:cnfStyle w:val="000000100000"/>
          <w:trHeight w:val="300"/>
          <w:jc w:val="center"/>
        </w:trPr>
        <w:tc>
          <w:tcPr>
            <w:cnfStyle w:val="001000000000"/>
            <w:tcW w:w="1748" w:type="dxa"/>
            <w:shd w:val="clear" w:color="auto" w:fill="D9D9D9" w:themeFill="background1" w:themeFillShade="D9"/>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7. 2. 2014</w:t>
            </w:r>
          </w:p>
        </w:tc>
        <w:tc>
          <w:tcPr>
            <w:tcW w:w="1675" w:type="dxa"/>
            <w:shd w:val="clear" w:color="auto" w:fill="D9D9D9" w:themeFill="background1" w:themeFillShade="D9"/>
            <w:noWrap/>
            <w:vAlign w:val="center"/>
            <w:hideMark/>
          </w:tcPr>
          <w:p w:rsidR="00D6513E" w:rsidRPr="00104AD2" w:rsidRDefault="00D6513E" w:rsidP="001433CF">
            <w:pPr>
              <w:spacing w:line="276" w:lineRule="auto"/>
              <w:jc w:val="center"/>
              <w:cnfStyle w:val="000000100000"/>
              <w:rPr>
                <w:color w:val="000000"/>
                <w:sz w:val="24"/>
                <w:lang w:eastAsia="cs-CZ"/>
              </w:rPr>
            </w:pPr>
            <w:r w:rsidRPr="00104AD2">
              <w:rPr>
                <w:color w:val="000000"/>
                <w:sz w:val="24"/>
                <w:lang w:eastAsia="cs-CZ"/>
              </w:rPr>
              <w:t>0,8657</w:t>
            </w:r>
          </w:p>
        </w:tc>
        <w:tc>
          <w:tcPr>
            <w:tcW w:w="2294" w:type="dxa"/>
            <w:shd w:val="clear" w:color="auto" w:fill="D9D9D9" w:themeFill="background1" w:themeFillShade="D9"/>
            <w:noWrap/>
            <w:vAlign w:val="center"/>
            <w:hideMark/>
          </w:tcPr>
          <w:p w:rsidR="00D6513E" w:rsidRPr="00885590" w:rsidRDefault="00D6513E" w:rsidP="001433CF">
            <w:pPr>
              <w:spacing w:line="276" w:lineRule="auto"/>
              <w:jc w:val="center"/>
              <w:cnfStyle w:val="000000100000"/>
              <w:rPr>
                <w:color w:val="000000"/>
                <w:sz w:val="24"/>
              </w:rPr>
            </w:pPr>
            <w:r w:rsidRPr="00885590">
              <w:rPr>
                <w:color w:val="000000"/>
                <w:sz w:val="24"/>
              </w:rPr>
              <w:t>0,5</w:t>
            </w:r>
          </w:p>
        </w:tc>
      </w:tr>
      <w:tr w:rsidR="00D6513E" w:rsidRPr="00104AD2" w:rsidTr="007A35D1">
        <w:trPr>
          <w:trHeight w:val="300"/>
          <w:jc w:val="center"/>
        </w:trPr>
        <w:tc>
          <w:tcPr>
            <w:cnfStyle w:val="001000000000"/>
            <w:tcW w:w="1748" w:type="dxa"/>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7. 8. 2014</w:t>
            </w:r>
          </w:p>
        </w:tc>
        <w:tc>
          <w:tcPr>
            <w:tcW w:w="1675" w:type="dxa"/>
            <w:noWrap/>
            <w:vAlign w:val="center"/>
            <w:hideMark/>
          </w:tcPr>
          <w:p w:rsidR="00D6513E" w:rsidRPr="00104AD2" w:rsidRDefault="00D6513E" w:rsidP="001433CF">
            <w:pPr>
              <w:spacing w:line="276" w:lineRule="auto"/>
              <w:jc w:val="center"/>
              <w:cnfStyle w:val="000000000000"/>
              <w:rPr>
                <w:color w:val="000000"/>
                <w:sz w:val="24"/>
                <w:lang w:eastAsia="cs-CZ"/>
              </w:rPr>
            </w:pPr>
            <w:r w:rsidRPr="00104AD2">
              <w:rPr>
                <w:color w:val="000000"/>
                <w:sz w:val="24"/>
                <w:lang w:eastAsia="cs-CZ"/>
              </w:rPr>
              <w:t>0,7356</w:t>
            </w:r>
          </w:p>
        </w:tc>
        <w:tc>
          <w:tcPr>
            <w:tcW w:w="2294" w:type="dxa"/>
            <w:noWrap/>
            <w:vAlign w:val="center"/>
            <w:hideMark/>
          </w:tcPr>
          <w:p w:rsidR="00D6513E" w:rsidRPr="00885590" w:rsidRDefault="00D6513E" w:rsidP="001433CF">
            <w:pPr>
              <w:spacing w:line="276" w:lineRule="auto"/>
              <w:jc w:val="center"/>
              <w:cnfStyle w:val="000000000000"/>
              <w:rPr>
                <w:color w:val="000000"/>
                <w:sz w:val="24"/>
              </w:rPr>
            </w:pPr>
            <w:r w:rsidRPr="00885590">
              <w:rPr>
                <w:color w:val="000000"/>
                <w:sz w:val="24"/>
              </w:rPr>
              <w:t>0,67</w:t>
            </w:r>
          </w:p>
        </w:tc>
      </w:tr>
      <w:tr w:rsidR="00D6513E" w:rsidRPr="00104AD2" w:rsidTr="007A35D1">
        <w:trPr>
          <w:cnfStyle w:val="000000100000"/>
          <w:trHeight w:val="300"/>
          <w:jc w:val="center"/>
        </w:trPr>
        <w:tc>
          <w:tcPr>
            <w:cnfStyle w:val="001000000000"/>
            <w:tcW w:w="1748" w:type="dxa"/>
            <w:shd w:val="clear" w:color="auto" w:fill="D9D9D9" w:themeFill="background1" w:themeFillShade="D9"/>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7. 2. 2015</w:t>
            </w:r>
          </w:p>
        </w:tc>
        <w:tc>
          <w:tcPr>
            <w:tcW w:w="1675" w:type="dxa"/>
            <w:shd w:val="clear" w:color="auto" w:fill="D9D9D9" w:themeFill="background1" w:themeFillShade="D9"/>
            <w:noWrap/>
            <w:vAlign w:val="center"/>
            <w:hideMark/>
          </w:tcPr>
          <w:p w:rsidR="00D6513E" w:rsidRPr="00104AD2" w:rsidRDefault="00D6513E" w:rsidP="001433CF">
            <w:pPr>
              <w:spacing w:line="276" w:lineRule="auto"/>
              <w:jc w:val="center"/>
              <w:cnfStyle w:val="000000100000"/>
              <w:rPr>
                <w:color w:val="000000"/>
                <w:sz w:val="24"/>
                <w:lang w:eastAsia="cs-CZ"/>
              </w:rPr>
            </w:pPr>
            <w:r w:rsidRPr="00104AD2">
              <w:rPr>
                <w:color w:val="000000"/>
                <w:sz w:val="24"/>
                <w:lang w:eastAsia="cs-CZ"/>
              </w:rPr>
              <w:t>0,9683</w:t>
            </w:r>
          </w:p>
        </w:tc>
        <w:tc>
          <w:tcPr>
            <w:tcW w:w="2294" w:type="dxa"/>
            <w:shd w:val="clear" w:color="auto" w:fill="D9D9D9" w:themeFill="background1" w:themeFillShade="D9"/>
            <w:noWrap/>
            <w:vAlign w:val="center"/>
            <w:hideMark/>
          </w:tcPr>
          <w:p w:rsidR="00D6513E" w:rsidRPr="00885590" w:rsidRDefault="00D6513E" w:rsidP="001433CF">
            <w:pPr>
              <w:spacing w:line="276" w:lineRule="auto"/>
              <w:jc w:val="center"/>
              <w:cnfStyle w:val="000000100000"/>
              <w:rPr>
                <w:color w:val="000000"/>
                <w:sz w:val="24"/>
              </w:rPr>
            </w:pPr>
            <w:r w:rsidRPr="00885590">
              <w:rPr>
                <w:color w:val="000000"/>
                <w:sz w:val="24"/>
              </w:rPr>
              <w:t>0,82</w:t>
            </w:r>
          </w:p>
        </w:tc>
      </w:tr>
      <w:tr w:rsidR="00D6513E" w:rsidRPr="00104AD2" w:rsidTr="007A35D1">
        <w:trPr>
          <w:trHeight w:val="300"/>
          <w:jc w:val="center"/>
        </w:trPr>
        <w:tc>
          <w:tcPr>
            <w:cnfStyle w:val="001000000000"/>
            <w:tcW w:w="1748" w:type="dxa"/>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7. 8. 2015</w:t>
            </w:r>
          </w:p>
        </w:tc>
        <w:tc>
          <w:tcPr>
            <w:tcW w:w="1675" w:type="dxa"/>
            <w:noWrap/>
            <w:vAlign w:val="center"/>
            <w:hideMark/>
          </w:tcPr>
          <w:p w:rsidR="00D6513E" w:rsidRPr="00104AD2" w:rsidRDefault="00D6513E" w:rsidP="001433CF">
            <w:pPr>
              <w:spacing w:line="276" w:lineRule="auto"/>
              <w:jc w:val="center"/>
              <w:cnfStyle w:val="000000000000"/>
              <w:rPr>
                <w:color w:val="000000"/>
                <w:sz w:val="24"/>
                <w:lang w:eastAsia="cs-CZ"/>
              </w:rPr>
            </w:pPr>
            <w:r w:rsidRPr="00104AD2">
              <w:rPr>
                <w:color w:val="000000"/>
                <w:sz w:val="24"/>
                <w:lang w:eastAsia="cs-CZ"/>
              </w:rPr>
              <w:t>0,9967</w:t>
            </w:r>
          </w:p>
        </w:tc>
        <w:tc>
          <w:tcPr>
            <w:tcW w:w="2294" w:type="dxa"/>
            <w:noWrap/>
            <w:vAlign w:val="center"/>
            <w:hideMark/>
          </w:tcPr>
          <w:p w:rsidR="00D6513E" w:rsidRPr="00885590" w:rsidRDefault="00D6513E" w:rsidP="001433CF">
            <w:pPr>
              <w:spacing w:line="276" w:lineRule="auto"/>
              <w:jc w:val="center"/>
              <w:cnfStyle w:val="000000000000"/>
              <w:rPr>
                <w:color w:val="000000"/>
                <w:sz w:val="24"/>
              </w:rPr>
            </w:pPr>
            <w:r w:rsidRPr="00885590">
              <w:rPr>
                <w:color w:val="000000"/>
                <w:sz w:val="24"/>
              </w:rPr>
              <w:t>0,96</w:t>
            </w:r>
          </w:p>
        </w:tc>
      </w:tr>
      <w:tr w:rsidR="00D6513E" w:rsidRPr="00104AD2" w:rsidTr="007A35D1">
        <w:trPr>
          <w:cnfStyle w:val="000000100000"/>
          <w:trHeight w:val="300"/>
          <w:jc w:val="center"/>
        </w:trPr>
        <w:tc>
          <w:tcPr>
            <w:cnfStyle w:val="001000000000"/>
            <w:tcW w:w="1748" w:type="dxa"/>
            <w:shd w:val="clear" w:color="auto" w:fill="D9D9D9" w:themeFill="background1" w:themeFillShade="D9"/>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7. 2. 2016</w:t>
            </w:r>
          </w:p>
        </w:tc>
        <w:tc>
          <w:tcPr>
            <w:tcW w:w="1675" w:type="dxa"/>
            <w:shd w:val="clear" w:color="auto" w:fill="D9D9D9" w:themeFill="background1" w:themeFillShade="D9"/>
            <w:noWrap/>
            <w:vAlign w:val="center"/>
            <w:hideMark/>
          </w:tcPr>
          <w:p w:rsidR="00D6513E" w:rsidRPr="00104AD2" w:rsidRDefault="00D6513E" w:rsidP="001433CF">
            <w:pPr>
              <w:spacing w:line="276" w:lineRule="auto"/>
              <w:jc w:val="center"/>
              <w:cnfStyle w:val="000000100000"/>
              <w:rPr>
                <w:color w:val="000000"/>
                <w:sz w:val="24"/>
                <w:lang w:eastAsia="cs-CZ"/>
              </w:rPr>
            </w:pPr>
            <w:r w:rsidRPr="00104AD2">
              <w:rPr>
                <w:color w:val="000000"/>
                <w:sz w:val="24"/>
                <w:lang w:eastAsia="cs-CZ"/>
              </w:rPr>
              <w:t>0,8324</w:t>
            </w:r>
          </w:p>
        </w:tc>
        <w:tc>
          <w:tcPr>
            <w:tcW w:w="2294" w:type="dxa"/>
            <w:shd w:val="clear" w:color="auto" w:fill="D9D9D9" w:themeFill="background1" w:themeFillShade="D9"/>
            <w:noWrap/>
            <w:vAlign w:val="center"/>
            <w:hideMark/>
          </w:tcPr>
          <w:p w:rsidR="00D6513E" w:rsidRPr="00885590" w:rsidRDefault="00D6513E" w:rsidP="001433CF">
            <w:pPr>
              <w:spacing w:line="276" w:lineRule="auto"/>
              <w:jc w:val="center"/>
              <w:cnfStyle w:val="000000100000"/>
              <w:rPr>
                <w:color w:val="000000"/>
                <w:sz w:val="24"/>
              </w:rPr>
            </w:pPr>
            <w:r w:rsidRPr="00885590">
              <w:rPr>
                <w:color w:val="000000"/>
                <w:sz w:val="24"/>
              </w:rPr>
              <w:t>1,18</w:t>
            </w:r>
          </w:p>
        </w:tc>
      </w:tr>
      <w:tr w:rsidR="00D6513E" w:rsidRPr="00104AD2" w:rsidTr="007A35D1">
        <w:trPr>
          <w:trHeight w:val="300"/>
          <w:jc w:val="center"/>
        </w:trPr>
        <w:tc>
          <w:tcPr>
            <w:cnfStyle w:val="001000000000"/>
            <w:tcW w:w="1748" w:type="dxa"/>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7. 8. 2016</w:t>
            </w:r>
          </w:p>
        </w:tc>
        <w:tc>
          <w:tcPr>
            <w:tcW w:w="1675" w:type="dxa"/>
            <w:noWrap/>
            <w:vAlign w:val="center"/>
            <w:hideMark/>
          </w:tcPr>
          <w:p w:rsidR="00D6513E" w:rsidRPr="00104AD2" w:rsidRDefault="00D6513E" w:rsidP="001433CF">
            <w:pPr>
              <w:spacing w:line="276" w:lineRule="auto"/>
              <w:jc w:val="center"/>
              <w:cnfStyle w:val="000000000000"/>
              <w:rPr>
                <w:color w:val="000000"/>
                <w:sz w:val="24"/>
                <w:lang w:eastAsia="cs-CZ"/>
              </w:rPr>
            </w:pPr>
            <w:r w:rsidRPr="00104AD2">
              <w:rPr>
                <w:color w:val="000000"/>
                <w:sz w:val="24"/>
                <w:lang w:eastAsia="cs-CZ"/>
              </w:rPr>
              <w:t>0,8067</w:t>
            </w:r>
          </w:p>
        </w:tc>
        <w:tc>
          <w:tcPr>
            <w:tcW w:w="2294" w:type="dxa"/>
            <w:noWrap/>
            <w:vAlign w:val="center"/>
            <w:hideMark/>
          </w:tcPr>
          <w:p w:rsidR="00D6513E" w:rsidRPr="00885590" w:rsidRDefault="00D6513E" w:rsidP="001433CF">
            <w:pPr>
              <w:spacing w:line="276" w:lineRule="auto"/>
              <w:jc w:val="center"/>
              <w:cnfStyle w:val="000000000000"/>
              <w:rPr>
                <w:color w:val="000000"/>
                <w:sz w:val="24"/>
              </w:rPr>
            </w:pPr>
            <w:r w:rsidRPr="00885590">
              <w:rPr>
                <w:color w:val="000000"/>
                <w:sz w:val="24"/>
              </w:rPr>
              <w:t>1,02</w:t>
            </w:r>
          </w:p>
        </w:tc>
      </w:tr>
      <w:tr w:rsidR="00D6513E" w:rsidRPr="00104AD2" w:rsidTr="007A35D1">
        <w:trPr>
          <w:cnfStyle w:val="000000100000"/>
          <w:trHeight w:val="300"/>
          <w:jc w:val="center"/>
        </w:trPr>
        <w:tc>
          <w:tcPr>
            <w:cnfStyle w:val="001000000000"/>
            <w:tcW w:w="1748" w:type="dxa"/>
            <w:shd w:val="clear" w:color="auto" w:fill="D9D9D9" w:themeFill="background1" w:themeFillShade="D9"/>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7. 2. 2017</w:t>
            </w:r>
          </w:p>
        </w:tc>
        <w:tc>
          <w:tcPr>
            <w:tcW w:w="1675" w:type="dxa"/>
            <w:shd w:val="clear" w:color="auto" w:fill="D9D9D9" w:themeFill="background1" w:themeFillShade="D9"/>
            <w:noWrap/>
            <w:vAlign w:val="center"/>
            <w:hideMark/>
          </w:tcPr>
          <w:p w:rsidR="00D6513E" w:rsidRPr="00104AD2" w:rsidRDefault="00D6513E" w:rsidP="001433CF">
            <w:pPr>
              <w:spacing w:line="276" w:lineRule="auto"/>
              <w:jc w:val="center"/>
              <w:cnfStyle w:val="000000100000"/>
              <w:rPr>
                <w:color w:val="000000"/>
                <w:sz w:val="24"/>
                <w:lang w:eastAsia="cs-CZ"/>
              </w:rPr>
            </w:pPr>
            <w:r w:rsidRPr="00104AD2">
              <w:rPr>
                <w:color w:val="000000"/>
                <w:sz w:val="24"/>
                <w:lang w:eastAsia="cs-CZ"/>
              </w:rPr>
              <w:t>0,7828</w:t>
            </w:r>
          </w:p>
        </w:tc>
        <w:tc>
          <w:tcPr>
            <w:tcW w:w="2294" w:type="dxa"/>
            <w:shd w:val="clear" w:color="auto" w:fill="D9D9D9" w:themeFill="background1" w:themeFillShade="D9"/>
            <w:noWrap/>
            <w:vAlign w:val="center"/>
            <w:hideMark/>
          </w:tcPr>
          <w:p w:rsidR="00D6513E" w:rsidRPr="00885590" w:rsidRDefault="00D6513E" w:rsidP="001433CF">
            <w:pPr>
              <w:spacing w:line="276" w:lineRule="auto"/>
              <w:jc w:val="center"/>
              <w:cnfStyle w:val="000000100000"/>
              <w:rPr>
                <w:color w:val="000000"/>
                <w:sz w:val="24"/>
              </w:rPr>
            </w:pPr>
            <w:r w:rsidRPr="00885590">
              <w:rPr>
                <w:color w:val="000000"/>
                <w:sz w:val="24"/>
              </w:rPr>
              <w:t>0,97</w:t>
            </w:r>
          </w:p>
        </w:tc>
      </w:tr>
      <w:tr w:rsidR="00D6513E" w:rsidRPr="00104AD2" w:rsidTr="007A35D1">
        <w:trPr>
          <w:trHeight w:val="300"/>
          <w:jc w:val="center"/>
        </w:trPr>
        <w:tc>
          <w:tcPr>
            <w:cnfStyle w:val="001000000000"/>
            <w:tcW w:w="1748" w:type="dxa"/>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7. 8. 2017</w:t>
            </w:r>
          </w:p>
        </w:tc>
        <w:tc>
          <w:tcPr>
            <w:tcW w:w="1675" w:type="dxa"/>
            <w:noWrap/>
            <w:vAlign w:val="center"/>
            <w:hideMark/>
          </w:tcPr>
          <w:p w:rsidR="00D6513E" w:rsidRPr="00104AD2" w:rsidRDefault="00D6513E" w:rsidP="001433CF">
            <w:pPr>
              <w:spacing w:line="276" w:lineRule="auto"/>
              <w:jc w:val="center"/>
              <w:cnfStyle w:val="000000000000"/>
              <w:rPr>
                <w:color w:val="000000"/>
                <w:sz w:val="24"/>
                <w:lang w:eastAsia="cs-CZ"/>
              </w:rPr>
            </w:pPr>
            <w:r w:rsidRPr="00104AD2">
              <w:rPr>
                <w:color w:val="000000"/>
                <w:sz w:val="24"/>
                <w:lang w:eastAsia="cs-CZ"/>
              </w:rPr>
              <w:t>0,7267</w:t>
            </w:r>
          </w:p>
        </w:tc>
        <w:tc>
          <w:tcPr>
            <w:tcW w:w="2294" w:type="dxa"/>
            <w:noWrap/>
            <w:vAlign w:val="center"/>
            <w:hideMark/>
          </w:tcPr>
          <w:p w:rsidR="00D6513E" w:rsidRPr="00885590" w:rsidRDefault="00D6513E" w:rsidP="001433CF">
            <w:pPr>
              <w:spacing w:line="276" w:lineRule="auto"/>
              <w:jc w:val="center"/>
              <w:cnfStyle w:val="000000000000"/>
              <w:rPr>
                <w:color w:val="000000"/>
                <w:sz w:val="24"/>
              </w:rPr>
            </w:pPr>
            <w:r w:rsidRPr="00885590">
              <w:rPr>
                <w:color w:val="000000"/>
                <w:sz w:val="24"/>
              </w:rPr>
              <w:t>0,91</w:t>
            </w:r>
          </w:p>
        </w:tc>
      </w:tr>
      <w:tr w:rsidR="00D6513E" w:rsidRPr="00104AD2" w:rsidTr="007A35D1">
        <w:trPr>
          <w:cnfStyle w:val="000000100000"/>
          <w:trHeight w:val="300"/>
          <w:jc w:val="center"/>
        </w:trPr>
        <w:tc>
          <w:tcPr>
            <w:cnfStyle w:val="001000000000"/>
            <w:tcW w:w="1748" w:type="dxa"/>
            <w:shd w:val="clear" w:color="auto" w:fill="D9D9D9" w:themeFill="background1" w:themeFillShade="D9"/>
            <w:noWrap/>
            <w:vAlign w:val="center"/>
            <w:hideMark/>
          </w:tcPr>
          <w:p w:rsidR="00D6513E" w:rsidRPr="00EF1622" w:rsidRDefault="00D6513E" w:rsidP="001433CF">
            <w:pPr>
              <w:spacing w:line="276" w:lineRule="auto"/>
              <w:jc w:val="center"/>
              <w:rPr>
                <w:b w:val="0"/>
                <w:color w:val="000000"/>
                <w:sz w:val="24"/>
                <w:lang w:eastAsia="cs-CZ"/>
              </w:rPr>
            </w:pPr>
            <w:r w:rsidRPr="00EF1622">
              <w:rPr>
                <w:b w:val="0"/>
                <w:color w:val="000000"/>
                <w:sz w:val="24"/>
                <w:lang w:eastAsia="cs-CZ"/>
              </w:rPr>
              <w:t>7. 2. 2018</w:t>
            </w:r>
          </w:p>
        </w:tc>
        <w:tc>
          <w:tcPr>
            <w:tcW w:w="1675" w:type="dxa"/>
            <w:shd w:val="clear" w:color="auto" w:fill="D9D9D9" w:themeFill="background1" w:themeFillShade="D9"/>
            <w:noWrap/>
            <w:vAlign w:val="center"/>
            <w:hideMark/>
          </w:tcPr>
          <w:p w:rsidR="00D6513E" w:rsidRPr="00104AD2" w:rsidRDefault="00D6513E" w:rsidP="001433CF">
            <w:pPr>
              <w:spacing w:line="276" w:lineRule="auto"/>
              <w:jc w:val="center"/>
              <w:cnfStyle w:val="000000100000"/>
              <w:rPr>
                <w:color w:val="000000"/>
                <w:sz w:val="24"/>
                <w:lang w:eastAsia="cs-CZ"/>
              </w:rPr>
            </w:pPr>
            <w:r w:rsidRPr="00104AD2">
              <w:rPr>
                <w:color w:val="000000"/>
                <w:sz w:val="24"/>
                <w:lang w:eastAsia="cs-CZ"/>
              </w:rPr>
              <w:t>0,6468</w:t>
            </w:r>
          </w:p>
        </w:tc>
        <w:tc>
          <w:tcPr>
            <w:tcW w:w="2294" w:type="dxa"/>
            <w:shd w:val="clear" w:color="auto" w:fill="D9D9D9" w:themeFill="background1" w:themeFillShade="D9"/>
            <w:noWrap/>
            <w:vAlign w:val="center"/>
            <w:hideMark/>
          </w:tcPr>
          <w:p w:rsidR="00D6513E" w:rsidRPr="00104AD2" w:rsidRDefault="00D6513E" w:rsidP="001433CF">
            <w:pPr>
              <w:keepNext/>
              <w:spacing w:line="276" w:lineRule="auto"/>
              <w:jc w:val="center"/>
              <w:cnfStyle w:val="000000100000"/>
              <w:rPr>
                <w:color w:val="000000"/>
                <w:sz w:val="24"/>
                <w:lang w:eastAsia="cs-CZ"/>
              </w:rPr>
            </w:pPr>
          </w:p>
        </w:tc>
      </w:tr>
    </w:tbl>
    <w:p w:rsidR="00D6513E" w:rsidRPr="00EF1622" w:rsidRDefault="007A35D1" w:rsidP="00EF1622">
      <w:pPr>
        <w:spacing w:before="240" w:after="240" w:line="276" w:lineRule="auto"/>
        <w:rPr>
          <w:i/>
          <w:sz w:val="20"/>
        </w:rPr>
      </w:pPr>
      <w:r>
        <w:rPr>
          <w:i/>
          <w:sz w:val="20"/>
        </w:rPr>
        <w:t>Pramen: Vlastní zpracování.</w:t>
      </w:r>
    </w:p>
    <w:p w:rsidR="00EF1622" w:rsidRDefault="00EF1622" w:rsidP="00D6513E">
      <w:pPr>
        <w:spacing w:after="240" w:line="276" w:lineRule="auto"/>
      </w:pPr>
    </w:p>
    <w:p w:rsidR="00D6513E" w:rsidRDefault="00D6513E" w:rsidP="00C27CB0">
      <w:pPr>
        <w:pStyle w:val="Nadpis2"/>
      </w:pPr>
      <w:bookmarkStart w:id="81" w:name="_Toc354393073"/>
      <w:r>
        <w:t>Zajištění úrokového rizika</w:t>
      </w:r>
      <w:bookmarkEnd w:id="81"/>
    </w:p>
    <w:p w:rsidR="00D6513E" w:rsidRDefault="00D6513E" w:rsidP="00D6513E">
      <w:pPr>
        <w:spacing w:before="240" w:after="240" w:line="276" w:lineRule="auto"/>
        <w:jc w:val="both"/>
      </w:pPr>
      <w:r>
        <w:t xml:space="preserve">Společnost </w:t>
      </w:r>
      <w:r w:rsidR="00361DA1">
        <w:t>Delor</w:t>
      </w:r>
      <w:r>
        <w:t xml:space="preserve"> sjednala s bankou variabilně úročený úvěr na dobu pěti let s pololetními splátkami a úročením. </w:t>
      </w:r>
      <w:r w:rsidR="00726522">
        <w:t>Úroková sazba úvěru je odvozena od re</w:t>
      </w:r>
      <w:r w:rsidR="006C3B8C">
        <w:t>ferenční úrokové sazby 6M</w:t>
      </w:r>
      <w:r w:rsidR="00FC7AE1">
        <w:t> </w:t>
      </w:r>
      <w:r w:rsidR="006C3B8C">
        <w:t>LIBOR USD + 1 % </w:t>
      </w:r>
      <w:r w:rsidR="00726522">
        <w:t xml:space="preserve">p.a. </w:t>
      </w:r>
      <w:r>
        <w:t xml:space="preserve">S variabilním úročením je spojeno riziko vzestupu referenční úrokové sazby. Společnost chce riziko zajistit prostřednictvím úrokového derivátu. </w:t>
      </w:r>
    </w:p>
    <w:p w:rsidR="00D6513E" w:rsidRDefault="00D6513E" w:rsidP="00D6513E">
      <w:pPr>
        <w:spacing w:before="240" w:after="240" w:line="276" w:lineRule="auto"/>
        <w:jc w:val="both"/>
      </w:pPr>
      <w:r>
        <w:t xml:space="preserve">Vzhledem k pravidelně se opakujícím úrokovým platbám je pro společnost </w:t>
      </w:r>
      <w:r w:rsidR="00361DA1">
        <w:t>Delor</w:t>
      </w:r>
      <w:r>
        <w:t xml:space="preserve"> nejvhodnější použít k zajištění úrokový swap. Díky swapu dojde k „přeměně“ variabilně úročeného úvěru na </w:t>
      </w:r>
      <w:r w:rsidR="007A35D1">
        <w:t xml:space="preserve">úvěr </w:t>
      </w:r>
      <w:r>
        <w:t>fixně úročený.</w:t>
      </w:r>
    </w:p>
    <w:p w:rsidR="00726522" w:rsidRDefault="00726522" w:rsidP="00D6513E">
      <w:pPr>
        <w:spacing w:before="240" w:after="240" w:line="276" w:lineRule="auto"/>
        <w:jc w:val="both"/>
      </w:pPr>
      <w:r>
        <w:t xml:space="preserve">Jelikož je úrokový swap </w:t>
      </w:r>
      <w:r w:rsidR="002910C5">
        <w:t>v podstatě</w:t>
      </w:r>
      <w:r>
        <w:t xml:space="preserve"> řadou úrokových forwardů, mohla by společnost </w:t>
      </w:r>
      <w:r w:rsidR="00361DA1">
        <w:t>D</w:t>
      </w:r>
      <w:r w:rsidR="00FC7AE1">
        <w:t>elor</w:t>
      </w:r>
      <w:r>
        <w:t xml:space="preserve"> místo úrokového swap sjednat </w:t>
      </w:r>
      <w:r w:rsidR="007A35D1">
        <w:t>také</w:t>
      </w:r>
      <w:r>
        <w:t xml:space="preserve"> několik úrokových forwardů. To by však byl</w:t>
      </w:r>
      <w:r w:rsidR="002910C5">
        <w:t>a</w:t>
      </w:r>
      <w:r>
        <w:t xml:space="preserve"> zbytečně komplikovanější, a pravděpodobně také dražší varianta</w:t>
      </w:r>
      <w:r w:rsidR="007A35D1">
        <w:t xml:space="preserve"> zajištění</w:t>
      </w:r>
      <w:r>
        <w:t>.</w:t>
      </w:r>
    </w:p>
    <w:p w:rsidR="00EF1622" w:rsidRDefault="00EF1622" w:rsidP="00D6513E">
      <w:pPr>
        <w:spacing w:before="240" w:after="240" w:line="276" w:lineRule="auto"/>
        <w:jc w:val="both"/>
      </w:pPr>
    </w:p>
    <w:p w:rsidR="00D6513E" w:rsidRDefault="00D6513E" w:rsidP="00D6513E">
      <w:pPr>
        <w:pStyle w:val="Nadpis3"/>
        <w:suppressAutoHyphens w:val="0"/>
      </w:pPr>
      <w:bookmarkStart w:id="82" w:name="_Toc354393074"/>
      <w:r>
        <w:t>Zajištění pomocí úrokového swapu</w:t>
      </w:r>
      <w:bookmarkEnd w:id="82"/>
    </w:p>
    <w:p w:rsidR="00D6513E" w:rsidRDefault="00D6513E" w:rsidP="00D6513E">
      <w:pPr>
        <w:spacing w:before="240" w:after="240" w:line="276" w:lineRule="auto"/>
        <w:jc w:val="both"/>
      </w:pPr>
      <w:r>
        <w:t xml:space="preserve">Za účelem sjednání úrokového swapu společnost </w:t>
      </w:r>
      <w:r w:rsidR="00361DA1">
        <w:t>Delor</w:t>
      </w:r>
      <w:r>
        <w:t xml:space="preserve"> kontaktuje banku, se</w:t>
      </w:r>
      <w:r w:rsidR="00726522">
        <w:t> </w:t>
      </w:r>
      <w:r>
        <w:t xml:space="preserve">kterou tento swap sjedná. Požaduje výměnu úrokových plateb, uskutečňovanou každého půl roku po dobu pěti let. </w:t>
      </w:r>
      <w:r w:rsidR="00361DA1">
        <w:t>Delor</w:t>
      </w:r>
      <w:r>
        <w:t xml:space="preserve"> si přeje pololetně inkasovat od banky platby odvozené od</w:t>
      </w:r>
      <w:r w:rsidR="007A35D1">
        <w:t xml:space="preserve"> referenční úrokové sazby</w:t>
      </w:r>
      <w:r w:rsidR="00726522">
        <w:t> </w:t>
      </w:r>
      <w:r w:rsidR="00AC56EA">
        <w:t>6M LIBOR USD, sám</w:t>
      </w:r>
      <w:r>
        <w:t xml:space="preserve"> chce platit platby odvozené od stanovené fixní úrokové sazby. Společnost tedy kupuje klasický úrokový swap.</w:t>
      </w:r>
    </w:p>
    <w:p w:rsidR="00D6513E" w:rsidRDefault="00D6513E" w:rsidP="00D6513E">
      <w:pPr>
        <w:spacing w:before="240" w:after="240" w:line="276" w:lineRule="auto"/>
        <w:jc w:val="both"/>
      </w:pPr>
      <w:r>
        <w:t xml:space="preserve">Obě úrokové platby </w:t>
      </w:r>
      <w:r w:rsidR="00726522">
        <w:t>se vztahují k nominální hodnotě</w:t>
      </w:r>
      <w:r w:rsidR="006C3B8C">
        <w:t xml:space="preserve"> 1 320 000 </w:t>
      </w:r>
      <w:r w:rsidR="00447807">
        <w:t>USD</w:t>
      </w:r>
      <w:r>
        <w:t xml:space="preserve">, která odpovídá výši přijatého úvěru společností </w:t>
      </w:r>
      <w:r w:rsidR="00361DA1">
        <w:t>Delor</w:t>
      </w:r>
      <w:r>
        <w:t xml:space="preserve"> u jiné komerční banky. Pro pětiletý swap je výše pevné </w:t>
      </w:r>
      <w:r>
        <w:lastRenderedPageBreak/>
        <w:t>úrokové sazby k</w:t>
      </w:r>
      <w:r w:rsidR="00726522">
        <w:t>e dni</w:t>
      </w:r>
      <w:r w:rsidR="006C3B8C">
        <w:t> 7. 2. </w:t>
      </w:r>
      <w:r>
        <w:t xml:space="preserve">2013 stanovena na </w:t>
      </w:r>
      <w:r w:rsidR="00951CCB">
        <w:t>0,97</w:t>
      </w:r>
      <w:r w:rsidR="006C3B8C">
        <w:t> </w:t>
      </w:r>
      <w:r>
        <w:t xml:space="preserve">%. </w:t>
      </w:r>
      <w:r w:rsidR="00951CCB">
        <w:t>Platb</w:t>
      </w:r>
      <w:r w:rsidR="00AC56EA">
        <w:t>a pevné úrokové sazby</w:t>
      </w:r>
      <w:r w:rsidR="00951CCB">
        <w:t xml:space="preserve"> úrokového swapu</w:t>
      </w:r>
      <w:r>
        <w:t xml:space="preserve"> se standardně vyplácí s roční frekvencí proti půlroční variabilní úrokové platbě.</w:t>
      </w:r>
    </w:p>
    <w:p w:rsidR="00D6513E" w:rsidRDefault="006C3B8C" w:rsidP="00D6513E">
      <w:pPr>
        <w:spacing w:before="240" w:after="240" w:line="276" w:lineRule="auto"/>
        <w:jc w:val="both"/>
      </w:pPr>
      <w:r>
        <w:t>Dnem sjednání swapu je 7. 2. </w:t>
      </w:r>
      <w:r w:rsidR="00D6513E">
        <w:t xml:space="preserve">2013, první </w:t>
      </w:r>
      <w:r w:rsidR="00951CCB">
        <w:t xml:space="preserve">úroková </w:t>
      </w:r>
      <w:r w:rsidR="00D6513E">
        <w:t>pla</w:t>
      </w:r>
      <w:r>
        <w:t>tba proběhne 7. 8. 2013. Dne 7. 2. </w:t>
      </w:r>
      <w:r w:rsidR="00D6513E">
        <w:t>2013 je 6M</w:t>
      </w:r>
      <w:r w:rsidR="00951CCB">
        <w:t> </w:t>
      </w:r>
      <w:r w:rsidR="00D6513E">
        <w:t xml:space="preserve">LIBOR roven sazbě 0,47 %. K fixaci referenční úrokové sazby dochází na začátku každého období. První variabilně úročená platba bude </w:t>
      </w:r>
      <w:r w:rsidR="00951CCB">
        <w:t xml:space="preserve">tedy </w:t>
      </w:r>
      <w:r w:rsidR="007A35D1">
        <w:t xml:space="preserve">odvozená od hodnoty </w:t>
      </w:r>
      <w:r w:rsidR="00D6513E">
        <w:t>6M L</w:t>
      </w:r>
      <w:r w:rsidR="007A35D1">
        <w:t>IBOR</w:t>
      </w:r>
      <w:r>
        <w:t xml:space="preserve"> ke dni 7. 2. </w:t>
      </w:r>
      <w:r w:rsidR="00AC56EA">
        <w:t>2013</w:t>
      </w:r>
      <w:r w:rsidR="00D6513E">
        <w:t>. Odpovída</w:t>
      </w:r>
      <w:r>
        <w:t>jící platba však proběhne až 7. 8. </w:t>
      </w:r>
      <w:r w:rsidR="00D6513E">
        <w:t>2013. K tomuto dni pak dojde k fixaci úrokové sazby 6M LIBOR pro další období atd.</w:t>
      </w:r>
    </w:p>
    <w:p w:rsidR="00D6513E" w:rsidRDefault="00D6513E" w:rsidP="00951CCB">
      <w:pPr>
        <w:keepNext/>
        <w:spacing w:after="240" w:line="276" w:lineRule="auto"/>
      </w:pPr>
    </w:p>
    <w:p w:rsidR="00951CCB" w:rsidRPr="00951CCB" w:rsidRDefault="00951CCB" w:rsidP="00951CCB">
      <w:pPr>
        <w:pStyle w:val="Titulek"/>
        <w:keepNext/>
        <w:spacing w:line="276" w:lineRule="auto"/>
        <w:jc w:val="both"/>
        <w:rPr>
          <w:rFonts w:ascii="Times New Roman" w:hAnsi="Times New Roman" w:cs="Times New Roman"/>
          <w:b w:val="0"/>
          <w:color w:val="auto"/>
          <w:sz w:val="24"/>
        </w:rPr>
      </w:pPr>
      <w:bookmarkStart w:id="83" w:name="_Toc354393021"/>
      <w:r w:rsidRPr="00951CCB">
        <w:rPr>
          <w:rFonts w:ascii="Times New Roman" w:hAnsi="Times New Roman" w:cs="Times New Roman"/>
          <w:b w:val="0"/>
          <w:color w:val="auto"/>
          <w:sz w:val="24"/>
        </w:rPr>
        <w:t xml:space="preserve">Obr. </w:t>
      </w:r>
      <w:r w:rsidR="00FA567C" w:rsidRPr="00951CCB">
        <w:rPr>
          <w:rFonts w:ascii="Times New Roman" w:hAnsi="Times New Roman" w:cs="Times New Roman"/>
          <w:b w:val="0"/>
          <w:color w:val="auto"/>
          <w:sz w:val="24"/>
        </w:rPr>
        <w:fldChar w:fldCharType="begin"/>
      </w:r>
      <w:r w:rsidRPr="00951CCB">
        <w:rPr>
          <w:rFonts w:ascii="Times New Roman" w:hAnsi="Times New Roman" w:cs="Times New Roman"/>
          <w:b w:val="0"/>
          <w:color w:val="auto"/>
          <w:sz w:val="24"/>
        </w:rPr>
        <w:instrText xml:space="preserve"> SEQ Obr. \* ARABIC </w:instrText>
      </w:r>
      <w:r w:rsidR="00FA567C" w:rsidRPr="00951CCB">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15</w:t>
      </w:r>
      <w:r w:rsidR="00FA567C" w:rsidRPr="00951CCB">
        <w:rPr>
          <w:rFonts w:ascii="Times New Roman" w:hAnsi="Times New Roman" w:cs="Times New Roman"/>
          <w:b w:val="0"/>
          <w:color w:val="auto"/>
          <w:sz w:val="24"/>
        </w:rPr>
        <w:fldChar w:fldCharType="end"/>
      </w:r>
      <w:r w:rsidRPr="00951CCB">
        <w:rPr>
          <w:rFonts w:ascii="Times New Roman" w:hAnsi="Times New Roman" w:cs="Times New Roman"/>
          <w:b w:val="0"/>
          <w:color w:val="auto"/>
          <w:sz w:val="24"/>
        </w:rPr>
        <w:t>: Schéma sjednaného úrokového swapu</w:t>
      </w:r>
      <w:bookmarkEnd w:id="83"/>
    </w:p>
    <w:p w:rsidR="00D6513E" w:rsidRDefault="00951CCB" w:rsidP="00951CCB">
      <w:pPr>
        <w:spacing w:after="240" w:line="276" w:lineRule="auto"/>
        <w:jc w:val="center"/>
      </w:pPr>
      <w:r>
        <w:rPr>
          <w:noProof/>
          <w:lang w:eastAsia="cs-CZ"/>
        </w:rPr>
        <w:drawing>
          <wp:inline distT="0" distB="0" distL="0" distR="0">
            <wp:extent cx="3676650" cy="1566651"/>
            <wp:effectExtent l="19050" t="0" r="0" b="0"/>
            <wp:docPr id="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l="3829" t="5769" r="4730" b="11058"/>
                    <a:stretch>
                      <a:fillRect/>
                    </a:stretch>
                  </pic:blipFill>
                  <pic:spPr bwMode="auto">
                    <a:xfrm>
                      <a:off x="0" y="0"/>
                      <a:ext cx="3676650" cy="1566651"/>
                    </a:xfrm>
                    <a:prstGeom prst="rect">
                      <a:avLst/>
                    </a:prstGeom>
                    <a:noFill/>
                    <a:ln w="9525">
                      <a:noFill/>
                      <a:miter lim="800000"/>
                      <a:headEnd/>
                      <a:tailEnd/>
                    </a:ln>
                  </pic:spPr>
                </pic:pic>
              </a:graphicData>
            </a:graphic>
          </wp:inline>
        </w:drawing>
      </w:r>
    </w:p>
    <w:p w:rsidR="00951CCB" w:rsidRDefault="00951CCB" w:rsidP="00951CCB">
      <w:pPr>
        <w:spacing w:after="240" w:line="276" w:lineRule="auto"/>
        <w:jc w:val="both"/>
        <w:rPr>
          <w:i/>
          <w:sz w:val="20"/>
        </w:rPr>
      </w:pPr>
      <w:r>
        <w:rPr>
          <w:i/>
          <w:sz w:val="20"/>
        </w:rPr>
        <w:t>Pramen: Vlastní zpracování</w:t>
      </w:r>
    </w:p>
    <w:p w:rsidR="00951CCB" w:rsidRPr="00951CCB" w:rsidRDefault="00951CCB" w:rsidP="00951CCB">
      <w:pPr>
        <w:spacing w:after="240" w:line="276" w:lineRule="auto"/>
        <w:jc w:val="both"/>
      </w:pPr>
    </w:p>
    <w:p w:rsidR="00D6513E" w:rsidRDefault="00DC1E2D" w:rsidP="00D6513E">
      <w:pPr>
        <w:spacing w:after="240" w:line="276" w:lineRule="auto"/>
        <w:jc w:val="both"/>
      </w:pPr>
      <w:r>
        <w:t>V T</w:t>
      </w:r>
      <w:r w:rsidR="00D6513E">
        <w:t>abulce</w:t>
      </w:r>
      <w:r>
        <w:t xml:space="preserve"> 4</w:t>
      </w:r>
      <w:r w:rsidR="00D6513E">
        <w:t xml:space="preserve"> jsou znázorněny konkrétní peněžní toky ode dne sjednání úrokového swapu. </w:t>
      </w:r>
      <w:r w:rsidR="007A35D1">
        <w:t>Výsledky jsou simulovány</w:t>
      </w:r>
      <w:r w:rsidR="00D6513E">
        <w:t xml:space="preserve"> dle </w:t>
      </w:r>
      <w:r w:rsidR="00C32BF0">
        <w:t>předpokládaného</w:t>
      </w:r>
      <w:r w:rsidR="00D6513E">
        <w:t xml:space="preserve"> vývoje referenční úrokové sazby 6M LIBOR. Přijaté a placené peněžní prostředky jsou vypočítány dle vzorce:</w:t>
      </w:r>
    </w:p>
    <w:p w:rsidR="00D6513E" w:rsidRDefault="00D6513E" w:rsidP="00D6513E">
      <w:pPr>
        <w:spacing w:after="240" w:line="276" w:lineRule="auto"/>
        <w:jc w:val="both"/>
        <w:rPr>
          <w:rFonts w:eastAsiaTheme="minorEastAsia"/>
        </w:rPr>
      </w:pPr>
      <m:oMathPara>
        <m:oMath>
          <m:r>
            <w:rPr>
              <w:rFonts w:ascii="Cambria Math" w:hAnsi="Cambria Math"/>
            </w:rPr>
            <m:t>CF=N*</m:t>
          </m:r>
          <m:f>
            <m:fPr>
              <m:ctrlPr>
                <w:rPr>
                  <w:rFonts w:ascii="Cambria Math" w:hAnsi="Cambria Math"/>
                  <w:i/>
                </w:rPr>
              </m:ctrlPr>
            </m:fPr>
            <m:num>
              <m:r>
                <w:rPr>
                  <w:rFonts w:ascii="Cambria Math" w:hAnsi="Cambria Math"/>
                </w:rPr>
                <m:t>d</m:t>
              </m:r>
            </m:num>
            <m:den>
              <m:r>
                <w:rPr>
                  <w:rFonts w:ascii="Cambria Math" w:hAnsi="Cambria Math"/>
                </w:rPr>
                <m:t>360</m:t>
              </m:r>
            </m:den>
          </m:f>
          <m:r>
            <w:rPr>
              <w:rFonts w:ascii="Cambria Math" w:hAnsi="Cambria Math"/>
            </w:rPr>
            <m:t>*</m:t>
          </m:r>
          <m:f>
            <m:fPr>
              <m:ctrlPr>
                <w:rPr>
                  <w:rFonts w:ascii="Cambria Math" w:hAnsi="Cambria Math"/>
                  <w:i/>
                </w:rPr>
              </m:ctrlPr>
            </m:fPr>
            <m:num>
              <m:r>
                <w:rPr>
                  <w:rFonts w:ascii="Cambria Math" w:hAnsi="Cambria Math"/>
                </w:rPr>
                <m:t>r</m:t>
              </m:r>
            </m:num>
            <m:den>
              <m:r>
                <w:rPr>
                  <w:rFonts w:ascii="Cambria Math" w:hAnsi="Cambria Math"/>
                </w:rPr>
                <m:t>100</m:t>
              </m:r>
            </m:den>
          </m:f>
        </m:oMath>
      </m:oMathPara>
    </w:p>
    <w:p w:rsidR="00D6513E" w:rsidRDefault="00D6513E" w:rsidP="00D6513E">
      <w:pPr>
        <w:spacing w:line="276" w:lineRule="auto"/>
        <w:jc w:val="both"/>
        <w:rPr>
          <w:rFonts w:eastAsiaTheme="minorEastAsia"/>
        </w:rPr>
      </w:pPr>
      <w:r>
        <w:rPr>
          <w:rFonts w:eastAsiaTheme="minorEastAsia"/>
        </w:rPr>
        <w:t xml:space="preserve">Kde: </w:t>
      </w:r>
      <w:r>
        <w:rPr>
          <w:rFonts w:eastAsiaTheme="minorEastAsia"/>
        </w:rPr>
        <w:tab/>
      </w:r>
    </w:p>
    <w:p w:rsidR="00D6513E" w:rsidRDefault="00D6513E" w:rsidP="00D6513E">
      <w:pPr>
        <w:spacing w:line="276" w:lineRule="auto"/>
        <w:ind w:firstLine="708"/>
        <w:jc w:val="both"/>
        <w:rPr>
          <w:rFonts w:eastAsiaTheme="minorEastAsia"/>
        </w:rPr>
      </w:pPr>
      <w:r w:rsidRPr="00C32BF0">
        <w:rPr>
          <w:rFonts w:eastAsiaTheme="minorEastAsia"/>
          <w:i/>
        </w:rPr>
        <w:t>CF</w:t>
      </w:r>
      <w:r>
        <w:rPr>
          <w:rFonts w:eastAsiaTheme="minorEastAsia"/>
        </w:rPr>
        <w:t xml:space="preserve"> je cash flow</w:t>
      </w:r>
    </w:p>
    <w:p w:rsidR="00D6513E" w:rsidRDefault="00D6513E" w:rsidP="00D6513E">
      <w:pPr>
        <w:spacing w:line="276" w:lineRule="auto"/>
        <w:jc w:val="both"/>
        <w:rPr>
          <w:rFonts w:eastAsiaTheme="minorEastAsia"/>
        </w:rPr>
      </w:pPr>
      <w:r>
        <w:rPr>
          <w:rFonts w:eastAsiaTheme="minorEastAsia"/>
        </w:rPr>
        <w:tab/>
      </w:r>
      <w:r w:rsidRPr="00C32BF0">
        <w:rPr>
          <w:rFonts w:eastAsiaTheme="minorEastAsia"/>
          <w:i/>
        </w:rPr>
        <w:t>N</w:t>
      </w:r>
      <w:r>
        <w:rPr>
          <w:rFonts w:eastAsiaTheme="minorEastAsia"/>
        </w:rPr>
        <w:t xml:space="preserve"> je nominální hodnota</w:t>
      </w:r>
    </w:p>
    <w:p w:rsidR="00D6513E" w:rsidRDefault="00D6513E" w:rsidP="00D6513E">
      <w:pPr>
        <w:spacing w:line="276" w:lineRule="auto"/>
        <w:jc w:val="both"/>
        <w:rPr>
          <w:rFonts w:eastAsiaTheme="minorEastAsia"/>
        </w:rPr>
      </w:pPr>
      <w:r>
        <w:rPr>
          <w:rFonts w:eastAsiaTheme="minorEastAsia"/>
        </w:rPr>
        <w:tab/>
      </w:r>
      <w:r w:rsidRPr="00C32BF0">
        <w:rPr>
          <w:rFonts w:eastAsiaTheme="minorEastAsia"/>
          <w:i/>
        </w:rPr>
        <w:t>d</w:t>
      </w:r>
      <w:r>
        <w:rPr>
          <w:rFonts w:eastAsiaTheme="minorEastAsia"/>
        </w:rPr>
        <w:t xml:space="preserve"> je počet dní za dané období</w:t>
      </w:r>
    </w:p>
    <w:p w:rsidR="00D6513E" w:rsidRDefault="00D6513E" w:rsidP="00D6513E">
      <w:pPr>
        <w:spacing w:line="276" w:lineRule="auto"/>
        <w:jc w:val="both"/>
        <w:rPr>
          <w:rFonts w:eastAsiaTheme="minorEastAsia"/>
        </w:rPr>
      </w:pPr>
      <w:r>
        <w:rPr>
          <w:rFonts w:eastAsiaTheme="minorEastAsia"/>
        </w:rPr>
        <w:tab/>
      </w:r>
      <w:r w:rsidRPr="00C32BF0">
        <w:rPr>
          <w:rFonts w:eastAsiaTheme="minorEastAsia"/>
          <w:i/>
        </w:rPr>
        <w:t>r</w:t>
      </w:r>
      <w:r>
        <w:rPr>
          <w:rFonts w:eastAsiaTheme="minorEastAsia"/>
        </w:rPr>
        <w:t xml:space="preserve"> je úroková míra</w:t>
      </w:r>
    </w:p>
    <w:p w:rsidR="00C32BF0" w:rsidRDefault="00C32BF0">
      <w:pPr>
        <w:suppressAutoHyphens w:val="0"/>
        <w:spacing w:after="200" w:line="276" w:lineRule="auto"/>
        <w:rPr>
          <w:rFonts w:eastAsiaTheme="minorEastAsia"/>
        </w:rPr>
      </w:pPr>
      <w:r>
        <w:rPr>
          <w:rFonts w:eastAsiaTheme="minorEastAsia"/>
        </w:rPr>
        <w:br w:type="page"/>
      </w:r>
    </w:p>
    <w:p w:rsidR="00C32BF0" w:rsidRPr="00C32BF0" w:rsidRDefault="00C32BF0" w:rsidP="00C32BF0">
      <w:pPr>
        <w:pStyle w:val="Titulek"/>
        <w:keepNext/>
        <w:spacing w:line="276" w:lineRule="auto"/>
        <w:jc w:val="both"/>
        <w:rPr>
          <w:rFonts w:ascii="Times New Roman" w:hAnsi="Times New Roman" w:cs="Times New Roman"/>
          <w:b w:val="0"/>
          <w:color w:val="auto"/>
          <w:sz w:val="24"/>
        </w:rPr>
      </w:pPr>
      <w:bookmarkStart w:id="84" w:name="_Toc354393027"/>
      <w:r w:rsidRPr="00C32BF0">
        <w:rPr>
          <w:rFonts w:ascii="Times New Roman" w:hAnsi="Times New Roman" w:cs="Times New Roman"/>
          <w:b w:val="0"/>
          <w:color w:val="auto"/>
          <w:sz w:val="24"/>
        </w:rPr>
        <w:lastRenderedPageBreak/>
        <w:t xml:space="preserve">Tabulka </w:t>
      </w:r>
      <w:r w:rsidR="00FA567C" w:rsidRPr="00C32BF0">
        <w:rPr>
          <w:rFonts w:ascii="Times New Roman" w:hAnsi="Times New Roman" w:cs="Times New Roman"/>
          <w:b w:val="0"/>
          <w:color w:val="auto"/>
          <w:sz w:val="24"/>
        </w:rPr>
        <w:fldChar w:fldCharType="begin"/>
      </w:r>
      <w:r w:rsidRPr="00C32BF0">
        <w:rPr>
          <w:rFonts w:ascii="Times New Roman" w:hAnsi="Times New Roman" w:cs="Times New Roman"/>
          <w:b w:val="0"/>
          <w:color w:val="auto"/>
          <w:sz w:val="24"/>
        </w:rPr>
        <w:instrText xml:space="preserve"> SEQ Tabulka \* ARABIC </w:instrText>
      </w:r>
      <w:r w:rsidR="00FA567C" w:rsidRPr="00C32BF0">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4</w:t>
      </w:r>
      <w:r w:rsidR="00FA567C" w:rsidRPr="00C32BF0">
        <w:rPr>
          <w:rFonts w:ascii="Times New Roman" w:hAnsi="Times New Roman" w:cs="Times New Roman"/>
          <w:b w:val="0"/>
          <w:color w:val="auto"/>
          <w:sz w:val="24"/>
        </w:rPr>
        <w:fldChar w:fldCharType="end"/>
      </w:r>
      <w:r w:rsidRPr="00C32BF0">
        <w:rPr>
          <w:rFonts w:ascii="Times New Roman" w:hAnsi="Times New Roman" w:cs="Times New Roman"/>
          <w:b w:val="0"/>
          <w:color w:val="auto"/>
          <w:sz w:val="24"/>
        </w:rPr>
        <w:t>: Očekávané peněžní toky plynoucí ze sjednaného úrokového swapu</w:t>
      </w:r>
      <w:bookmarkEnd w:id="84"/>
    </w:p>
    <w:tbl>
      <w:tblPr>
        <w:tblStyle w:val="Svtlstnovn1"/>
        <w:tblW w:w="8752" w:type="dxa"/>
        <w:jc w:val="center"/>
        <w:tblLook w:val="04E0"/>
      </w:tblPr>
      <w:tblGrid>
        <w:gridCol w:w="2363"/>
        <w:gridCol w:w="1191"/>
        <w:gridCol w:w="1508"/>
        <w:gridCol w:w="1678"/>
        <w:gridCol w:w="2012"/>
      </w:tblGrid>
      <w:tr w:rsidR="00D6513E" w:rsidRPr="00A71C02" w:rsidTr="00C32BF0">
        <w:trPr>
          <w:cnfStyle w:val="100000000000"/>
          <w:trHeight w:val="600"/>
          <w:jc w:val="center"/>
        </w:trPr>
        <w:tc>
          <w:tcPr>
            <w:cnfStyle w:val="001000000000"/>
            <w:tcW w:w="2363" w:type="dxa"/>
            <w:noWrap/>
            <w:vAlign w:val="center"/>
            <w:hideMark/>
          </w:tcPr>
          <w:p w:rsidR="00D6513E" w:rsidRPr="00A71C02" w:rsidRDefault="00D6513E" w:rsidP="00C32BF0">
            <w:pPr>
              <w:spacing w:line="276" w:lineRule="auto"/>
              <w:jc w:val="center"/>
              <w:rPr>
                <w:color w:val="000000"/>
                <w:sz w:val="24"/>
                <w:szCs w:val="24"/>
                <w:lang w:eastAsia="cs-CZ"/>
              </w:rPr>
            </w:pPr>
            <w:r w:rsidRPr="00A71C02">
              <w:rPr>
                <w:color w:val="000000"/>
                <w:sz w:val="24"/>
                <w:szCs w:val="24"/>
                <w:lang w:eastAsia="cs-CZ"/>
              </w:rPr>
              <w:t>Období</w:t>
            </w:r>
          </w:p>
        </w:tc>
        <w:tc>
          <w:tcPr>
            <w:tcW w:w="1191" w:type="dxa"/>
            <w:noWrap/>
            <w:vAlign w:val="center"/>
            <w:hideMark/>
          </w:tcPr>
          <w:p w:rsidR="00D6513E" w:rsidRPr="00A71C02" w:rsidRDefault="00D6513E" w:rsidP="00C32BF0">
            <w:pPr>
              <w:spacing w:line="276" w:lineRule="auto"/>
              <w:jc w:val="center"/>
              <w:cnfStyle w:val="100000000000"/>
              <w:rPr>
                <w:color w:val="auto"/>
                <w:sz w:val="24"/>
                <w:szCs w:val="24"/>
                <w:lang w:eastAsia="cs-CZ"/>
              </w:rPr>
            </w:pPr>
            <w:r w:rsidRPr="00A71C02">
              <w:rPr>
                <w:color w:val="auto"/>
                <w:sz w:val="24"/>
                <w:szCs w:val="24"/>
                <w:lang w:eastAsia="cs-CZ"/>
              </w:rPr>
              <w:t>Počet dní</w:t>
            </w:r>
          </w:p>
        </w:tc>
        <w:tc>
          <w:tcPr>
            <w:tcW w:w="1508" w:type="dxa"/>
            <w:noWrap/>
            <w:vAlign w:val="center"/>
            <w:hideMark/>
          </w:tcPr>
          <w:p w:rsidR="00D6513E" w:rsidRPr="00A71C02" w:rsidRDefault="00C32BF0" w:rsidP="00C32BF0">
            <w:pPr>
              <w:spacing w:line="276" w:lineRule="auto"/>
              <w:jc w:val="center"/>
              <w:cnfStyle w:val="100000000000"/>
              <w:rPr>
                <w:color w:val="000000"/>
                <w:sz w:val="24"/>
                <w:szCs w:val="24"/>
                <w:lang w:eastAsia="cs-CZ"/>
              </w:rPr>
            </w:pPr>
            <w:r>
              <w:rPr>
                <w:color w:val="000000"/>
                <w:sz w:val="24"/>
                <w:szCs w:val="24"/>
                <w:lang w:eastAsia="cs-CZ"/>
              </w:rPr>
              <w:t>6M LIBOR</w:t>
            </w:r>
          </w:p>
        </w:tc>
        <w:tc>
          <w:tcPr>
            <w:tcW w:w="1678" w:type="dxa"/>
            <w:noWrap/>
            <w:vAlign w:val="center"/>
            <w:hideMark/>
          </w:tcPr>
          <w:p w:rsidR="00D6513E" w:rsidRPr="00A71C02" w:rsidRDefault="00D6513E" w:rsidP="00C32BF0">
            <w:pPr>
              <w:spacing w:line="276" w:lineRule="auto"/>
              <w:jc w:val="center"/>
              <w:cnfStyle w:val="100000000000"/>
              <w:rPr>
                <w:color w:val="000000"/>
                <w:sz w:val="24"/>
                <w:szCs w:val="24"/>
                <w:lang w:eastAsia="cs-CZ"/>
              </w:rPr>
            </w:pPr>
            <w:r w:rsidRPr="00A71C02">
              <w:rPr>
                <w:color w:val="000000"/>
                <w:sz w:val="24"/>
                <w:szCs w:val="24"/>
                <w:lang w:eastAsia="cs-CZ"/>
              </w:rPr>
              <w:t>Přijaté platby</w:t>
            </w:r>
          </w:p>
        </w:tc>
        <w:tc>
          <w:tcPr>
            <w:tcW w:w="2012" w:type="dxa"/>
            <w:noWrap/>
            <w:vAlign w:val="center"/>
            <w:hideMark/>
          </w:tcPr>
          <w:p w:rsidR="00D6513E" w:rsidRPr="00A71C02" w:rsidRDefault="00D6513E" w:rsidP="00C32BF0">
            <w:pPr>
              <w:spacing w:line="276" w:lineRule="auto"/>
              <w:jc w:val="center"/>
              <w:cnfStyle w:val="100000000000"/>
              <w:rPr>
                <w:color w:val="000000"/>
                <w:sz w:val="24"/>
                <w:szCs w:val="24"/>
                <w:lang w:eastAsia="cs-CZ"/>
              </w:rPr>
            </w:pPr>
            <w:r w:rsidRPr="00A71C02">
              <w:rPr>
                <w:color w:val="000000"/>
                <w:sz w:val="24"/>
                <w:szCs w:val="24"/>
                <w:lang w:eastAsia="cs-CZ"/>
              </w:rPr>
              <w:t>Zaplacené platby</w:t>
            </w:r>
          </w:p>
        </w:tc>
      </w:tr>
      <w:tr w:rsidR="00D6513E" w:rsidRPr="00A71C02" w:rsidTr="001433CF">
        <w:trPr>
          <w:cnfStyle w:val="000000100000"/>
          <w:trHeight w:val="300"/>
          <w:jc w:val="center"/>
        </w:trPr>
        <w:tc>
          <w:tcPr>
            <w:cnfStyle w:val="001000000000"/>
            <w:tcW w:w="2363" w:type="dxa"/>
            <w:shd w:val="clear" w:color="auto" w:fill="D9D9D9" w:themeFill="background1" w:themeFillShade="D9"/>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2013 - 7. 8. 2013</w:t>
            </w:r>
          </w:p>
        </w:tc>
        <w:tc>
          <w:tcPr>
            <w:tcW w:w="1191" w:type="dxa"/>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r w:rsidRPr="00A71C02">
              <w:rPr>
                <w:color w:val="000000"/>
                <w:sz w:val="24"/>
                <w:szCs w:val="24"/>
                <w:lang w:eastAsia="cs-CZ"/>
              </w:rPr>
              <w:t>181</w:t>
            </w:r>
          </w:p>
        </w:tc>
        <w:tc>
          <w:tcPr>
            <w:tcW w:w="1508" w:type="dxa"/>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rPr>
            </w:pPr>
            <w:r w:rsidRPr="00A71C02">
              <w:rPr>
                <w:color w:val="000000"/>
                <w:sz w:val="24"/>
                <w:szCs w:val="24"/>
              </w:rPr>
              <w:t>0,47</w:t>
            </w:r>
          </w:p>
        </w:tc>
        <w:tc>
          <w:tcPr>
            <w:tcW w:w="1678" w:type="dxa"/>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rPr>
            </w:pPr>
            <w:r w:rsidRPr="00A71C02">
              <w:rPr>
                <w:bCs/>
                <w:color w:val="000000"/>
                <w:sz w:val="24"/>
                <w:szCs w:val="24"/>
              </w:rPr>
              <w:t>3 119,23</w:t>
            </w:r>
          </w:p>
        </w:tc>
        <w:tc>
          <w:tcPr>
            <w:tcW w:w="2012" w:type="dxa"/>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lang w:eastAsia="cs-CZ"/>
              </w:rPr>
            </w:pPr>
          </w:p>
        </w:tc>
      </w:tr>
      <w:tr w:rsidR="00D6513E" w:rsidRPr="00A71C02" w:rsidTr="00C32BF0">
        <w:trPr>
          <w:trHeight w:val="300"/>
          <w:jc w:val="center"/>
        </w:trPr>
        <w:tc>
          <w:tcPr>
            <w:cnfStyle w:val="001000000000"/>
            <w:tcW w:w="2363" w:type="dxa"/>
            <w:tcBorders>
              <w:bottom w:val="nil"/>
            </w:tcBorders>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8. 2013 - 7. 2. 2014</w:t>
            </w:r>
          </w:p>
        </w:tc>
        <w:tc>
          <w:tcPr>
            <w:tcW w:w="1191" w:type="dxa"/>
            <w:tcBorders>
              <w:bottom w:val="nil"/>
            </w:tcBorders>
            <w:noWrap/>
            <w:vAlign w:val="center"/>
            <w:hideMark/>
          </w:tcPr>
          <w:p w:rsidR="00D6513E" w:rsidRPr="00A71C02" w:rsidRDefault="00D6513E" w:rsidP="00C32BF0">
            <w:pPr>
              <w:spacing w:line="276" w:lineRule="auto"/>
              <w:jc w:val="center"/>
              <w:cnfStyle w:val="000000000000"/>
              <w:rPr>
                <w:color w:val="000000"/>
                <w:sz w:val="24"/>
                <w:szCs w:val="24"/>
                <w:lang w:eastAsia="cs-CZ"/>
              </w:rPr>
            </w:pPr>
            <w:r w:rsidRPr="00A71C02">
              <w:rPr>
                <w:color w:val="000000"/>
                <w:sz w:val="24"/>
                <w:szCs w:val="24"/>
                <w:lang w:eastAsia="cs-CZ"/>
              </w:rPr>
              <w:t>184</w:t>
            </w:r>
          </w:p>
        </w:tc>
        <w:tc>
          <w:tcPr>
            <w:tcW w:w="1508" w:type="dxa"/>
            <w:tcBorders>
              <w:bottom w:val="nil"/>
            </w:tcBorders>
            <w:noWrap/>
            <w:vAlign w:val="center"/>
            <w:hideMark/>
          </w:tcPr>
          <w:p w:rsidR="00D6513E" w:rsidRPr="00A71C02" w:rsidRDefault="00D6513E" w:rsidP="00C32BF0">
            <w:pPr>
              <w:spacing w:line="276" w:lineRule="auto"/>
              <w:jc w:val="center"/>
              <w:cnfStyle w:val="000000000000"/>
              <w:rPr>
                <w:color w:val="000000"/>
                <w:sz w:val="24"/>
                <w:szCs w:val="24"/>
              </w:rPr>
            </w:pPr>
            <w:r w:rsidRPr="00A71C02">
              <w:rPr>
                <w:color w:val="000000"/>
                <w:sz w:val="24"/>
                <w:szCs w:val="24"/>
              </w:rPr>
              <w:t>0,51</w:t>
            </w:r>
          </w:p>
        </w:tc>
        <w:tc>
          <w:tcPr>
            <w:tcW w:w="1678" w:type="dxa"/>
            <w:tcBorders>
              <w:bottom w:val="nil"/>
            </w:tcBorders>
            <w:noWrap/>
            <w:vAlign w:val="center"/>
            <w:hideMark/>
          </w:tcPr>
          <w:p w:rsidR="00D6513E" w:rsidRPr="00A71C02" w:rsidRDefault="00D6513E" w:rsidP="00C32BF0">
            <w:pPr>
              <w:spacing w:line="276" w:lineRule="auto"/>
              <w:jc w:val="center"/>
              <w:cnfStyle w:val="000000000000"/>
              <w:rPr>
                <w:bCs/>
                <w:color w:val="000000"/>
                <w:sz w:val="24"/>
                <w:szCs w:val="24"/>
              </w:rPr>
            </w:pPr>
            <w:r w:rsidRPr="00A71C02">
              <w:rPr>
                <w:bCs/>
                <w:color w:val="000000"/>
                <w:sz w:val="24"/>
                <w:szCs w:val="24"/>
              </w:rPr>
              <w:t>3 440,80</w:t>
            </w:r>
          </w:p>
        </w:tc>
        <w:tc>
          <w:tcPr>
            <w:tcW w:w="2012" w:type="dxa"/>
            <w:tcBorders>
              <w:bottom w:val="nil"/>
            </w:tcBorders>
            <w:noWrap/>
            <w:vAlign w:val="center"/>
            <w:hideMark/>
          </w:tcPr>
          <w:p w:rsidR="00D6513E" w:rsidRPr="00A71C02" w:rsidRDefault="00D6513E" w:rsidP="00C32BF0">
            <w:pPr>
              <w:spacing w:line="276" w:lineRule="auto"/>
              <w:jc w:val="center"/>
              <w:cnfStyle w:val="000000000000"/>
              <w:rPr>
                <w:bCs/>
                <w:color w:val="000000"/>
                <w:sz w:val="24"/>
                <w:szCs w:val="24"/>
                <w:lang w:eastAsia="cs-CZ"/>
              </w:rPr>
            </w:pPr>
          </w:p>
        </w:tc>
      </w:tr>
      <w:tr w:rsidR="00D6513E" w:rsidRPr="00A71C02" w:rsidTr="001433CF">
        <w:trPr>
          <w:cnfStyle w:val="000000100000"/>
          <w:trHeight w:val="300"/>
          <w:jc w:val="center"/>
        </w:trPr>
        <w:tc>
          <w:tcPr>
            <w:cnfStyle w:val="001000000000"/>
            <w:tcW w:w="2363" w:type="dxa"/>
            <w:tcBorders>
              <w:top w:val="nil"/>
              <w:bottom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2013 - 7. 2. 2014</w:t>
            </w:r>
          </w:p>
        </w:tc>
        <w:tc>
          <w:tcPr>
            <w:tcW w:w="1191" w:type="dxa"/>
            <w:tcBorders>
              <w:top w:val="nil"/>
              <w:bottom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r w:rsidRPr="00A71C02">
              <w:rPr>
                <w:color w:val="000000"/>
                <w:sz w:val="24"/>
                <w:szCs w:val="24"/>
                <w:lang w:eastAsia="cs-CZ"/>
              </w:rPr>
              <w:t>360</w:t>
            </w:r>
          </w:p>
        </w:tc>
        <w:tc>
          <w:tcPr>
            <w:tcW w:w="1508" w:type="dxa"/>
            <w:tcBorders>
              <w:top w:val="nil"/>
              <w:bottom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p>
        </w:tc>
        <w:tc>
          <w:tcPr>
            <w:tcW w:w="1678" w:type="dxa"/>
            <w:tcBorders>
              <w:top w:val="nil"/>
              <w:bottom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lang w:eastAsia="cs-CZ"/>
              </w:rPr>
            </w:pPr>
          </w:p>
        </w:tc>
        <w:tc>
          <w:tcPr>
            <w:tcW w:w="2012" w:type="dxa"/>
            <w:tcBorders>
              <w:top w:val="nil"/>
              <w:bottom w:val="single" w:sz="4" w:space="0" w:color="auto"/>
            </w:tcBorders>
            <w:shd w:val="clear" w:color="auto" w:fill="D9D9D9" w:themeFill="background1" w:themeFillShade="D9"/>
            <w:noWrap/>
            <w:vAlign w:val="center"/>
            <w:hideMark/>
          </w:tcPr>
          <w:p w:rsidR="00D6513E" w:rsidRPr="00A71C02" w:rsidRDefault="00C32BF0" w:rsidP="00C32BF0">
            <w:pPr>
              <w:spacing w:line="276" w:lineRule="auto"/>
              <w:jc w:val="center"/>
              <w:cnfStyle w:val="000000100000"/>
              <w:rPr>
                <w:bCs/>
                <w:color w:val="000000"/>
                <w:sz w:val="24"/>
                <w:szCs w:val="24"/>
                <w:lang w:eastAsia="cs-CZ"/>
              </w:rPr>
            </w:pPr>
            <w:r>
              <w:rPr>
                <w:bCs/>
                <w:color w:val="000000"/>
                <w:sz w:val="24"/>
                <w:szCs w:val="24"/>
                <w:lang w:eastAsia="cs-CZ"/>
              </w:rPr>
              <w:t>12 804</w:t>
            </w:r>
          </w:p>
        </w:tc>
      </w:tr>
      <w:tr w:rsidR="00D6513E" w:rsidRPr="00A71C02" w:rsidTr="00C32BF0">
        <w:trPr>
          <w:trHeight w:val="300"/>
          <w:jc w:val="center"/>
        </w:trPr>
        <w:tc>
          <w:tcPr>
            <w:cnfStyle w:val="001000000000"/>
            <w:tcW w:w="2363" w:type="dxa"/>
            <w:tcBorders>
              <w:top w:val="single" w:sz="4" w:space="0" w:color="auto"/>
            </w:tcBorders>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2014 - 7. 8. 2014</w:t>
            </w:r>
          </w:p>
        </w:tc>
        <w:tc>
          <w:tcPr>
            <w:tcW w:w="1191" w:type="dxa"/>
            <w:tcBorders>
              <w:top w:val="single" w:sz="4" w:space="0" w:color="auto"/>
            </w:tcBorders>
            <w:noWrap/>
            <w:vAlign w:val="center"/>
            <w:hideMark/>
          </w:tcPr>
          <w:p w:rsidR="00D6513E" w:rsidRPr="00A71C02" w:rsidRDefault="00D6513E" w:rsidP="00C32BF0">
            <w:pPr>
              <w:spacing w:line="276" w:lineRule="auto"/>
              <w:jc w:val="center"/>
              <w:cnfStyle w:val="000000000000"/>
              <w:rPr>
                <w:color w:val="000000"/>
                <w:sz w:val="24"/>
                <w:szCs w:val="24"/>
                <w:lang w:eastAsia="cs-CZ"/>
              </w:rPr>
            </w:pPr>
            <w:r w:rsidRPr="00A71C02">
              <w:rPr>
                <w:color w:val="000000"/>
                <w:sz w:val="24"/>
                <w:szCs w:val="24"/>
                <w:lang w:eastAsia="cs-CZ"/>
              </w:rPr>
              <w:t>181</w:t>
            </w:r>
          </w:p>
        </w:tc>
        <w:tc>
          <w:tcPr>
            <w:tcW w:w="1508" w:type="dxa"/>
            <w:tcBorders>
              <w:top w:val="single" w:sz="4" w:space="0" w:color="auto"/>
            </w:tcBorders>
            <w:noWrap/>
            <w:vAlign w:val="center"/>
            <w:hideMark/>
          </w:tcPr>
          <w:p w:rsidR="00D6513E" w:rsidRPr="00A71C02" w:rsidRDefault="00D6513E" w:rsidP="00C32BF0">
            <w:pPr>
              <w:spacing w:line="276" w:lineRule="auto"/>
              <w:jc w:val="center"/>
              <w:cnfStyle w:val="000000000000"/>
              <w:rPr>
                <w:color w:val="000000"/>
                <w:sz w:val="24"/>
                <w:szCs w:val="24"/>
              </w:rPr>
            </w:pPr>
            <w:r w:rsidRPr="00A71C02">
              <w:rPr>
                <w:color w:val="000000"/>
                <w:sz w:val="24"/>
                <w:szCs w:val="24"/>
              </w:rPr>
              <w:t>0,5</w:t>
            </w:r>
          </w:p>
        </w:tc>
        <w:tc>
          <w:tcPr>
            <w:tcW w:w="1678" w:type="dxa"/>
            <w:tcBorders>
              <w:top w:val="single" w:sz="4" w:space="0" w:color="auto"/>
            </w:tcBorders>
            <w:noWrap/>
            <w:vAlign w:val="center"/>
            <w:hideMark/>
          </w:tcPr>
          <w:p w:rsidR="00D6513E" w:rsidRPr="00A71C02" w:rsidRDefault="00D6513E" w:rsidP="00C32BF0">
            <w:pPr>
              <w:spacing w:line="276" w:lineRule="auto"/>
              <w:jc w:val="center"/>
              <w:cnfStyle w:val="000000000000"/>
              <w:rPr>
                <w:bCs/>
                <w:color w:val="000000"/>
                <w:sz w:val="24"/>
                <w:szCs w:val="24"/>
              </w:rPr>
            </w:pPr>
            <w:r w:rsidRPr="00A71C02">
              <w:rPr>
                <w:bCs/>
                <w:color w:val="000000"/>
                <w:sz w:val="24"/>
                <w:szCs w:val="24"/>
              </w:rPr>
              <w:t>3 318,33</w:t>
            </w:r>
          </w:p>
        </w:tc>
        <w:tc>
          <w:tcPr>
            <w:tcW w:w="2012" w:type="dxa"/>
            <w:tcBorders>
              <w:top w:val="single" w:sz="4" w:space="0" w:color="auto"/>
            </w:tcBorders>
            <w:noWrap/>
            <w:vAlign w:val="center"/>
            <w:hideMark/>
          </w:tcPr>
          <w:p w:rsidR="00D6513E" w:rsidRPr="00A71C02" w:rsidRDefault="00D6513E" w:rsidP="00C32BF0">
            <w:pPr>
              <w:spacing w:line="276" w:lineRule="auto"/>
              <w:jc w:val="center"/>
              <w:cnfStyle w:val="000000000000"/>
              <w:rPr>
                <w:bCs/>
                <w:color w:val="000000"/>
                <w:sz w:val="24"/>
                <w:szCs w:val="24"/>
                <w:lang w:eastAsia="cs-CZ"/>
              </w:rPr>
            </w:pPr>
          </w:p>
        </w:tc>
      </w:tr>
      <w:tr w:rsidR="00D6513E" w:rsidRPr="00A71C02" w:rsidTr="001433CF">
        <w:trPr>
          <w:cnfStyle w:val="000000100000"/>
          <w:trHeight w:val="300"/>
          <w:jc w:val="center"/>
        </w:trPr>
        <w:tc>
          <w:tcPr>
            <w:cnfStyle w:val="001000000000"/>
            <w:tcW w:w="2363"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8. 2014 - 7. 2. 2015</w:t>
            </w:r>
          </w:p>
        </w:tc>
        <w:tc>
          <w:tcPr>
            <w:tcW w:w="1191"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r w:rsidRPr="00A71C02">
              <w:rPr>
                <w:color w:val="000000"/>
                <w:sz w:val="24"/>
                <w:szCs w:val="24"/>
                <w:lang w:eastAsia="cs-CZ"/>
              </w:rPr>
              <w:t>184</w:t>
            </w:r>
          </w:p>
        </w:tc>
        <w:tc>
          <w:tcPr>
            <w:tcW w:w="1508"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rPr>
            </w:pPr>
            <w:r w:rsidRPr="00A71C02">
              <w:rPr>
                <w:color w:val="000000"/>
                <w:sz w:val="24"/>
                <w:szCs w:val="24"/>
              </w:rPr>
              <w:t>0,67</w:t>
            </w:r>
          </w:p>
        </w:tc>
        <w:tc>
          <w:tcPr>
            <w:tcW w:w="1678"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rPr>
            </w:pPr>
            <w:r w:rsidRPr="00A71C02">
              <w:rPr>
                <w:bCs/>
                <w:color w:val="000000"/>
                <w:sz w:val="24"/>
                <w:szCs w:val="24"/>
              </w:rPr>
              <w:t>4 520,27</w:t>
            </w:r>
          </w:p>
        </w:tc>
        <w:tc>
          <w:tcPr>
            <w:tcW w:w="2012"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lang w:eastAsia="cs-CZ"/>
              </w:rPr>
            </w:pPr>
          </w:p>
        </w:tc>
      </w:tr>
      <w:tr w:rsidR="00D6513E" w:rsidRPr="00A71C02" w:rsidTr="00C32BF0">
        <w:trPr>
          <w:trHeight w:val="300"/>
          <w:jc w:val="center"/>
        </w:trPr>
        <w:tc>
          <w:tcPr>
            <w:cnfStyle w:val="001000000000"/>
            <w:tcW w:w="2363" w:type="dxa"/>
            <w:tcBorders>
              <w:top w:val="nil"/>
              <w:bottom w:val="single" w:sz="4" w:space="0" w:color="auto"/>
            </w:tcBorders>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2014 - 7. 2. 2015</w:t>
            </w:r>
          </w:p>
        </w:tc>
        <w:tc>
          <w:tcPr>
            <w:tcW w:w="1191" w:type="dxa"/>
            <w:tcBorders>
              <w:top w:val="nil"/>
              <w:bottom w:val="single" w:sz="4" w:space="0" w:color="auto"/>
            </w:tcBorders>
            <w:noWrap/>
            <w:vAlign w:val="center"/>
            <w:hideMark/>
          </w:tcPr>
          <w:p w:rsidR="00D6513E" w:rsidRPr="00A71C02" w:rsidRDefault="00D6513E" w:rsidP="00C32BF0">
            <w:pPr>
              <w:spacing w:line="276" w:lineRule="auto"/>
              <w:jc w:val="center"/>
              <w:cnfStyle w:val="000000000000"/>
              <w:rPr>
                <w:color w:val="000000"/>
                <w:sz w:val="24"/>
                <w:szCs w:val="24"/>
                <w:lang w:eastAsia="cs-CZ"/>
              </w:rPr>
            </w:pPr>
            <w:r w:rsidRPr="00A71C02">
              <w:rPr>
                <w:color w:val="000000"/>
                <w:sz w:val="24"/>
                <w:szCs w:val="24"/>
                <w:lang w:eastAsia="cs-CZ"/>
              </w:rPr>
              <w:t>360</w:t>
            </w:r>
          </w:p>
        </w:tc>
        <w:tc>
          <w:tcPr>
            <w:tcW w:w="1508" w:type="dxa"/>
            <w:tcBorders>
              <w:top w:val="nil"/>
              <w:bottom w:val="single" w:sz="4" w:space="0" w:color="auto"/>
            </w:tcBorders>
            <w:noWrap/>
            <w:vAlign w:val="center"/>
            <w:hideMark/>
          </w:tcPr>
          <w:p w:rsidR="00D6513E" w:rsidRPr="00A71C02" w:rsidRDefault="00D6513E" w:rsidP="00C32BF0">
            <w:pPr>
              <w:spacing w:line="276" w:lineRule="auto"/>
              <w:jc w:val="center"/>
              <w:cnfStyle w:val="000000000000"/>
              <w:rPr>
                <w:color w:val="000000"/>
                <w:sz w:val="24"/>
                <w:szCs w:val="24"/>
                <w:lang w:eastAsia="cs-CZ"/>
              </w:rPr>
            </w:pPr>
          </w:p>
        </w:tc>
        <w:tc>
          <w:tcPr>
            <w:tcW w:w="1678" w:type="dxa"/>
            <w:tcBorders>
              <w:top w:val="nil"/>
              <w:bottom w:val="single" w:sz="4" w:space="0" w:color="auto"/>
            </w:tcBorders>
            <w:noWrap/>
            <w:vAlign w:val="center"/>
            <w:hideMark/>
          </w:tcPr>
          <w:p w:rsidR="00D6513E" w:rsidRPr="00A71C02" w:rsidRDefault="00D6513E" w:rsidP="00C32BF0">
            <w:pPr>
              <w:spacing w:line="276" w:lineRule="auto"/>
              <w:jc w:val="center"/>
              <w:cnfStyle w:val="000000000000"/>
              <w:rPr>
                <w:bCs/>
                <w:color w:val="000000"/>
                <w:sz w:val="24"/>
                <w:szCs w:val="24"/>
                <w:lang w:eastAsia="cs-CZ"/>
              </w:rPr>
            </w:pPr>
          </w:p>
        </w:tc>
        <w:tc>
          <w:tcPr>
            <w:tcW w:w="2012" w:type="dxa"/>
            <w:tcBorders>
              <w:top w:val="nil"/>
              <w:bottom w:val="single" w:sz="4" w:space="0" w:color="auto"/>
            </w:tcBorders>
            <w:noWrap/>
            <w:vAlign w:val="center"/>
            <w:hideMark/>
          </w:tcPr>
          <w:p w:rsidR="00D6513E" w:rsidRPr="00A71C02" w:rsidRDefault="00C32BF0" w:rsidP="00C32BF0">
            <w:pPr>
              <w:spacing w:line="276" w:lineRule="auto"/>
              <w:jc w:val="center"/>
              <w:cnfStyle w:val="000000000000"/>
              <w:rPr>
                <w:bCs/>
                <w:color w:val="000000"/>
                <w:sz w:val="24"/>
                <w:szCs w:val="24"/>
                <w:lang w:eastAsia="cs-CZ"/>
              </w:rPr>
            </w:pPr>
            <w:r>
              <w:rPr>
                <w:bCs/>
                <w:color w:val="000000"/>
                <w:sz w:val="24"/>
                <w:szCs w:val="24"/>
                <w:lang w:eastAsia="cs-CZ"/>
              </w:rPr>
              <w:t>12 804</w:t>
            </w:r>
          </w:p>
        </w:tc>
      </w:tr>
      <w:tr w:rsidR="00D6513E" w:rsidRPr="00A71C02" w:rsidTr="001433CF">
        <w:trPr>
          <w:cnfStyle w:val="000000100000"/>
          <w:trHeight w:val="300"/>
          <w:jc w:val="center"/>
        </w:trPr>
        <w:tc>
          <w:tcPr>
            <w:cnfStyle w:val="001000000000"/>
            <w:tcW w:w="2363"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2015 - 7. 8. 2015</w:t>
            </w:r>
          </w:p>
        </w:tc>
        <w:tc>
          <w:tcPr>
            <w:tcW w:w="1191"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r w:rsidRPr="00A71C02">
              <w:rPr>
                <w:color w:val="000000"/>
                <w:sz w:val="24"/>
                <w:szCs w:val="24"/>
                <w:lang w:eastAsia="cs-CZ"/>
              </w:rPr>
              <w:t>181</w:t>
            </w:r>
          </w:p>
        </w:tc>
        <w:tc>
          <w:tcPr>
            <w:tcW w:w="1508"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rPr>
            </w:pPr>
            <w:r w:rsidRPr="00A71C02">
              <w:rPr>
                <w:color w:val="000000"/>
                <w:sz w:val="24"/>
                <w:szCs w:val="24"/>
              </w:rPr>
              <w:t>0,82</w:t>
            </w:r>
          </w:p>
        </w:tc>
        <w:tc>
          <w:tcPr>
            <w:tcW w:w="1678"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rPr>
            </w:pPr>
            <w:r w:rsidRPr="00A71C02">
              <w:rPr>
                <w:bCs/>
                <w:color w:val="000000"/>
                <w:sz w:val="24"/>
                <w:szCs w:val="24"/>
              </w:rPr>
              <w:t>5 442,07</w:t>
            </w:r>
          </w:p>
        </w:tc>
        <w:tc>
          <w:tcPr>
            <w:tcW w:w="2012"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lang w:eastAsia="cs-CZ"/>
              </w:rPr>
            </w:pPr>
          </w:p>
        </w:tc>
      </w:tr>
      <w:tr w:rsidR="00D6513E" w:rsidRPr="00A71C02" w:rsidTr="00C32BF0">
        <w:trPr>
          <w:trHeight w:val="300"/>
          <w:jc w:val="center"/>
        </w:trPr>
        <w:tc>
          <w:tcPr>
            <w:cnfStyle w:val="001000000000"/>
            <w:tcW w:w="2363" w:type="dxa"/>
            <w:tcBorders>
              <w:bottom w:val="nil"/>
            </w:tcBorders>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8. 2015 - 7. 2. 2016</w:t>
            </w:r>
          </w:p>
        </w:tc>
        <w:tc>
          <w:tcPr>
            <w:tcW w:w="1191" w:type="dxa"/>
            <w:tcBorders>
              <w:bottom w:val="nil"/>
            </w:tcBorders>
            <w:noWrap/>
            <w:vAlign w:val="center"/>
            <w:hideMark/>
          </w:tcPr>
          <w:p w:rsidR="00D6513E" w:rsidRPr="00A71C02" w:rsidRDefault="00D6513E" w:rsidP="00C32BF0">
            <w:pPr>
              <w:spacing w:line="276" w:lineRule="auto"/>
              <w:jc w:val="center"/>
              <w:cnfStyle w:val="000000000000"/>
              <w:rPr>
                <w:color w:val="000000"/>
                <w:sz w:val="24"/>
                <w:szCs w:val="24"/>
                <w:lang w:eastAsia="cs-CZ"/>
              </w:rPr>
            </w:pPr>
            <w:r w:rsidRPr="00A71C02">
              <w:rPr>
                <w:color w:val="000000"/>
                <w:sz w:val="24"/>
                <w:szCs w:val="24"/>
                <w:lang w:eastAsia="cs-CZ"/>
              </w:rPr>
              <w:t>184</w:t>
            </w:r>
          </w:p>
        </w:tc>
        <w:tc>
          <w:tcPr>
            <w:tcW w:w="1508" w:type="dxa"/>
            <w:tcBorders>
              <w:bottom w:val="nil"/>
            </w:tcBorders>
            <w:noWrap/>
            <w:vAlign w:val="center"/>
            <w:hideMark/>
          </w:tcPr>
          <w:p w:rsidR="00D6513E" w:rsidRPr="00A71C02" w:rsidRDefault="00D6513E" w:rsidP="00C32BF0">
            <w:pPr>
              <w:spacing w:line="276" w:lineRule="auto"/>
              <w:jc w:val="center"/>
              <w:cnfStyle w:val="000000000000"/>
              <w:rPr>
                <w:color w:val="000000"/>
                <w:sz w:val="24"/>
                <w:szCs w:val="24"/>
              </w:rPr>
            </w:pPr>
            <w:r w:rsidRPr="00A71C02">
              <w:rPr>
                <w:color w:val="000000"/>
                <w:sz w:val="24"/>
                <w:szCs w:val="24"/>
              </w:rPr>
              <w:t>0,96</w:t>
            </w:r>
          </w:p>
        </w:tc>
        <w:tc>
          <w:tcPr>
            <w:tcW w:w="1678" w:type="dxa"/>
            <w:tcBorders>
              <w:bottom w:val="nil"/>
            </w:tcBorders>
            <w:noWrap/>
            <w:vAlign w:val="center"/>
            <w:hideMark/>
          </w:tcPr>
          <w:p w:rsidR="00D6513E" w:rsidRPr="00A71C02" w:rsidRDefault="00D6513E" w:rsidP="00C32BF0">
            <w:pPr>
              <w:spacing w:line="276" w:lineRule="auto"/>
              <w:jc w:val="center"/>
              <w:cnfStyle w:val="000000000000"/>
              <w:rPr>
                <w:bCs/>
                <w:color w:val="000000"/>
                <w:sz w:val="24"/>
                <w:szCs w:val="24"/>
              </w:rPr>
            </w:pPr>
            <w:r w:rsidRPr="00A71C02">
              <w:rPr>
                <w:bCs/>
                <w:color w:val="000000"/>
                <w:sz w:val="24"/>
                <w:szCs w:val="24"/>
              </w:rPr>
              <w:t>6 476,80</w:t>
            </w:r>
          </w:p>
        </w:tc>
        <w:tc>
          <w:tcPr>
            <w:tcW w:w="2012" w:type="dxa"/>
            <w:tcBorders>
              <w:bottom w:val="nil"/>
            </w:tcBorders>
            <w:noWrap/>
            <w:vAlign w:val="center"/>
            <w:hideMark/>
          </w:tcPr>
          <w:p w:rsidR="00D6513E" w:rsidRPr="00A71C02" w:rsidRDefault="00D6513E" w:rsidP="00C32BF0">
            <w:pPr>
              <w:spacing w:line="276" w:lineRule="auto"/>
              <w:jc w:val="center"/>
              <w:cnfStyle w:val="000000000000"/>
              <w:rPr>
                <w:bCs/>
                <w:color w:val="000000"/>
                <w:sz w:val="24"/>
                <w:szCs w:val="24"/>
                <w:lang w:eastAsia="cs-CZ"/>
              </w:rPr>
            </w:pPr>
          </w:p>
        </w:tc>
      </w:tr>
      <w:tr w:rsidR="00D6513E" w:rsidRPr="00A71C02" w:rsidTr="001433CF">
        <w:trPr>
          <w:cnfStyle w:val="000000100000"/>
          <w:trHeight w:val="300"/>
          <w:jc w:val="center"/>
        </w:trPr>
        <w:tc>
          <w:tcPr>
            <w:cnfStyle w:val="001000000000"/>
            <w:tcW w:w="2363" w:type="dxa"/>
            <w:tcBorders>
              <w:top w:val="nil"/>
              <w:bottom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2015 - 7. 2. 2016</w:t>
            </w:r>
          </w:p>
        </w:tc>
        <w:tc>
          <w:tcPr>
            <w:tcW w:w="1191" w:type="dxa"/>
            <w:tcBorders>
              <w:top w:val="nil"/>
              <w:bottom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r w:rsidRPr="00A71C02">
              <w:rPr>
                <w:color w:val="000000"/>
                <w:sz w:val="24"/>
                <w:szCs w:val="24"/>
                <w:lang w:eastAsia="cs-CZ"/>
              </w:rPr>
              <w:t>360</w:t>
            </w:r>
          </w:p>
        </w:tc>
        <w:tc>
          <w:tcPr>
            <w:tcW w:w="1508" w:type="dxa"/>
            <w:tcBorders>
              <w:top w:val="nil"/>
              <w:bottom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p>
        </w:tc>
        <w:tc>
          <w:tcPr>
            <w:tcW w:w="1678" w:type="dxa"/>
            <w:tcBorders>
              <w:top w:val="nil"/>
              <w:bottom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lang w:eastAsia="cs-CZ"/>
              </w:rPr>
            </w:pPr>
          </w:p>
        </w:tc>
        <w:tc>
          <w:tcPr>
            <w:tcW w:w="2012" w:type="dxa"/>
            <w:tcBorders>
              <w:top w:val="nil"/>
              <w:bottom w:val="single" w:sz="4" w:space="0" w:color="auto"/>
            </w:tcBorders>
            <w:shd w:val="clear" w:color="auto" w:fill="D9D9D9" w:themeFill="background1" w:themeFillShade="D9"/>
            <w:noWrap/>
            <w:vAlign w:val="center"/>
            <w:hideMark/>
          </w:tcPr>
          <w:p w:rsidR="00D6513E" w:rsidRPr="00A71C02" w:rsidRDefault="00C32BF0" w:rsidP="00C32BF0">
            <w:pPr>
              <w:spacing w:line="276" w:lineRule="auto"/>
              <w:jc w:val="center"/>
              <w:cnfStyle w:val="000000100000"/>
              <w:rPr>
                <w:bCs/>
                <w:color w:val="000000"/>
                <w:sz w:val="24"/>
                <w:szCs w:val="24"/>
                <w:lang w:eastAsia="cs-CZ"/>
              </w:rPr>
            </w:pPr>
            <w:r>
              <w:rPr>
                <w:bCs/>
                <w:color w:val="000000"/>
                <w:sz w:val="24"/>
                <w:szCs w:val="24"/>
                <w:lang w:eastAsia="cs-CZ"/>
              </w:rPr>
              <w:t>12 804</w:t>
            </w:r>
          </w:p>
        </w:tc>
      </w:tr>
      <w:tr w:rsidR="00D6513E" w:rsidRPr="00A71C02" w:rsidTr="00C32BF0">
        <w:trPr>
          <w:trHeight w:val="300"/>
          <w:jc w:val="center"/>
        </w:trPr>
        <w:tc>
          <w:tcPr>
            <w:cnfStyle w:val="001000000000"/>
            <w:tcW w:w="2363" w:type="dxa"/>
            <w:tcBorders>
              <w:top w:val="single" w:sz="4" w:space="0" w:color="auto"/>
            </w:tcBorders>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2016 - 7. 8. 2016</w:t>
            </w:r>
          </w:p>
        </w:tc>
        <w:tc>
          <w:tcPr>
            <w:tcW w:w="1191" w:type="dxa"/>
            <w:tcBorders>
              <w:top w:val="single" w:sz="4" w:space="0" w:color="auto"/>
            </w:tcBorders>
            <w:noWrap/>
            <w:vAlign w:val="center"/>
            <w:hideMark/>
          </w:tcPr>
          <w:p w:rsidR="00D6513E" w:rsidRPr="00A71C02" w:rsidRDefault="00D6513E" w:rsidP="00C32BF0">
            <w:pPr>
              <w:spacing w:line="276" w:lineRule="auto"/>
              <w:jc w:val="center"/>
              <w:cnfStyle w:val="000000000000"/>
              <w:rPr>
                <w:bCs/>
                <w:color w:val="000000"/>
                <w:sz w:val="24"/>
                <w:szCs w:val="24"/>
                <w:lang w:eastAsia="cs-CZ"/>
              </w:rPr>
            </w:pPr>
            <w:r w:rsidRPr="00A71C02">
              <w:rPr>
                <w:bCs/>
                <w:color w:val="000000"/>
                <w:sz w:val="24"/>
                <w:szCs w:val="24"/>
                <w:lang w:eastAsia="cs-CZ"/>
              </w:rPr>
              <w:t>182</w:t>
            </w:r>
          </w:p>
        </w:tc>
        <w:tc>
          <w:tcPr>
            <w:tcW w:w="1508" w:type="dxa"/>
            <w:tcBorders>
              <w:top w:val="single" w:sz="4" w:space="0" w:color="auto"/>
            </w:tcBorders>
            <w:noWrap/>
            <w:vAlign w:val="center"/>
            <w:hideMark/>
          </w:tcPr>
          <w:p w:rsidR="00D6513E" w:rsidRPr="00A71C02" w:rsidRDefault="00D6513E" w:rsidP="00C32BF0">
            <w:pPr>
              <w:spacing w:line="276" w:lineRule="auto"/>
              <w:jc w:val="center"/>
              <w:cnfStyle w:val="000000000000"/>
              <w:rPr>
                <w:color w:val="000000"/>
                <w:sz w:val="24"/>
                <w:szCs w:val="24"/>
              </w:rPr>
            </w:pPr>
            <w:r w:rsidRPr="00A71C02">
              <w:rPr>
                <w:color w:val="000000"/>
                <w:sz w:val="24"/>
                <w:szCs w:val="24"/>
              </w:rPr>
              <w:t>1,18</w:t>
            </w:r>
          </w:p>
        </w:tc>
        <w:tc>
          <w:tcPr>
            <w:tcW w:w="1678" w:type="dxa"/>
            <w:tcBorders>
              <w:top w:val="single" w:sz="4" w:space="0" w:color="auto"/>
            </w:tcBorders>
            <w:noWrap/>
            <w:vAlign w:val="center"/>
            <w:hideMark/>
          </w:tcPr>
          <w:p w:rsidR="00D6513E" w:rsidRPr="00A71C02" w:rsidRDefault="00D6513E" w:rsidP="00C32BF0">
            <w:pPr>
              <w:spacing w:line="276" w:lineRule="auto"/>
              <w:jc w:val="center"/>
              <w:cnfStyle w:val="000000000000"/>
              <w:rPr>
                <w:bCs/>
                <w:color w:val="000000"/>
                <w:sz w:val="24"/>
                <w:szCs w:val="24"/>
              </w:rPr>
            </w:pPr>
            <w:r w:rsidRPr="00A71C02">
              <w:rPr>
                <w:bCs/>
                <w:color w:val="000000"/>
                <w:sz w:val="24"/>
                <w:szCs w:val="24"/>
              </w:rPr>
              <w:t>7 874,53</w:t>
            </w:r>
          </w:p>
        </w:tc>
        <w:tc>
          <w:tcPr>
            <w:tcW w:w="2012" w:type="dxa"/>
            <w:tcBorders>
              <w:top w:val="single" w:sz="4" w:space="0" w:color="auto"/>
            </w:tcBorders>
            <w:noWrap/>
            <w:vAlign w:val="center"/>
            <w:hideMark/>
          </w:tcPr>
          <w:p w:rsidR="00D6513E" w:rsidRPr="00A71C02" w:rsidRDefault="00D6513E" w:rsidP="00C32BF0">
            <w:pPr>
              <w:spacing w:line="276" w:lineRule="auto"/>
              <w:jc w:val="center"/>
              <w:cnfStyle w:val="000000000000"/>
              <w:rPr>
                <w:bCs/>
                <w:color w:val="000000"/>
                <w:sz w:val="24"/>
                <w:szCs w:val="24"/>
                <w:lang w:eastAsia="cs-CZ"/>
              </w:rPr>
            </w:pPr>
          </w:p>
        </w:tc>
      </w:tr>
      <w:tr w:rsidR="00D6513E" w:rsidRPr="00A71C02" w:rsidTr="001433CF">
        <w:trPr>
          <w:cnfStyle w:val="000000100000"/>
          <w:trHeight w:val="300"/>
          <w:jc w:val="center"/>
        </w:trPr>
        <w:tc>
          <w:tcPr>
            <w:cnfStyle w:val="001000000000"/>
            <w:tcW w:w="2363"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8. 2016 - 7. 2. 2017</w:t>
            </w:r>
          </w:p>
        </w:tc>
        <w:tc>
          <w:tcPr>
            <w:tcW w:w="1191"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r w:rsidRPr="00A71C02">
              <w:rPr>
                <w:color w:val="000000"/>
                <w:sz w:val="24"/>
                <w:szCs w:val="24"/>
                <w:lang w:eastAsia="cs-CZ"/>
              </w:rPr>
              <w:t>184</w:t>
            </w:r>
          </w:p>
        </w:tc>
        <w:tc>
          <w:tcPr>
            <w:tcW w:w="1508"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rPr>
            </w:pPr>
            <w:r w:rsidRPr="00A71C02">
              <w:rPr>
                <w:color w:val="000000"/>
                <w:sz w:val="24"/>
                <w:szCs w:val="24"/>
              </w:rPr>
              <w:t>1,02</w:t>
            </w:r>
          </w:p>
        </w:tc>
        <w:tc>
          <w:tcPr>
            <w:tcW w:w="1678"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rPr>
            </w:pPr>
            <w:r w:rsidRPr="00A71C02">
              <w:rPr>
                <w:bCs/>
                <w:color w:val="000000"/>
                <w:sz w:val="24"/>
                <w:szCs w:val="24"/>
              </w:rPr>
              <w:t>6 881,60</w:t>
            </w:r>
          </w:p>
        </w:tc>
        <w:tc>
          <w:tcPr>
            <w:tcW w:w="2012" w:type="dxa"/>
            <w:tcBorders>
              <w:bottom w:val="nil"/>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lang w:eastAsia="cs-CZ"/>
              </w:rPr>
            </w:pPr>
          </w:p>
        </w:tc>
      </w:tr>
      <w:tr w:rsidR="00D6513E" w:rsidRPr="00A71C02" w:rsidTr="00C32BF0">
        <w:trPr>
          <w:trHeight w:val="300"/>
          <w:jc w:val="center"/>
        </w:trPr>
        <w:tc>
          <w:tcPr>
            <w:cnfStyle w:val="001000000000"/>
            <w:tcW w:w="2363" w:type="dxa"/>
            <w:tcBorders>
              <w:top w:val="nil"/>
              <w:bottom w:val="single" w:sz="4" w:space="0" w:color="auto"/>
            </w:tcBorders>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2016 - 7. 2. 2017</w:t>
            </w:r>
          </w:p>
        </w:tc>
        <w:tc>
          <w:tcPr>
            <w:tcW w:w="1191" w:type="dxa"/>
            <w:tcBorders>
              <w:top w:val="nil"/>
              <w:bottom w:val="single" w:sz="4" w:space="0" w:color="auto"/>
            </w:tcBorders>
            <w:noWrap/>
            <w:vAlign w:val="center"/>
            <w:hideMark/>
          </w:tcPr>
          <w:p w:rsidR="00D6513E" w:rsidRPr="00A71C02" w:rsidRDefault="00D6513E" w:rsidP="00C32BF0">
            <w:pPr>
              <w:spacing w:line="276" w:lineRule="auto"/>
              <w:jc w:val="center"/>
              <w:cnfStyle w:val="000000000000"/>
              <w:rPr>
                <w:bCs/>
                <w:color w:val="000000"/>
                <w:sz w:val="24"/>
                <w:szCs w:val="24"/>
                <w:lang w:eastAsia="cs-CZ"/>
              </w:rPr>
            </w:pPr>
            <w:r w:rsidRPr="00A71C02">
              <w:rPr>
                <w:bCs/>
                <w:color w:val="000000"/>
                <w:sz w:val="24"/>
                <w:szCs w:val="24"/>
                <w:lang w:eastAsia="cs-CZ"/>
              </w:rPr>
              <w:t>360</w:t>
            </w:r>
          </w:p>
        </w:tc>
        <w:tc>
          <w:tcPr>
            <w:tcW w:w="1508" w:type="dxa"/>
            <w:tcBorders>
              <w:top w:val="nil"/>
              <w:bottom w:val="single" w:sz="4" w:space="0" w:color="auto"/>
            </w:tcBorders>
            <w:noWrap/>
            <w:vAlign w:val="center"/>
            <w:hideMark/>
          </w:tcPr>
          <w:p w:rsidR="00D6513E" w:rsidRPr="00A71C02" w:rsidRDefault="00D6513E" w:rsidP="00C32BF0">
            <w:pPr>
              <w:spacing w:line="276" w:lineRule="auto"/>
              <w:jc w:val="center"/>
              <w:cnfStyle w:val="000000000000"/>
              <w:rPr>
                <w:color w:val="000000"/>
                <w:sz w:val="24"/>
                <w:szCs w:val="24"/>
                <w:lang w:eastAsia="cs-CZ"/>
              </w:rPr>
            </w:pPr>
          </w:p>
        </w:tc>
        <w:tc>
          <w:tcPr>
            <w:tcW w:w="1678" w:type="dxa"/>
            <w:tcBorders>
              <w:top w:val="nil"/>
              <w:bottom w:val="single" w:sz="4" w:space="0" w:color="auto"/>
            </w:tcBorders>
            <w:noWrap/>
            <w:vAlign w:val="center"/>
            <w:hideMark/>
          </w:tcPr>
          <w:p w:rsidR="00D6513E" w:rsidRPr="00A71C02" w:rsidRDefault="00D6513E" w:rsidP="00C32BF0">
            <w:pPr>
              <w:spacing w:line="276" w:lineRule="auto"/>
              <w:jc w:val="center"/>
              <w:cnfStyle w:val="000000000000"/>
              <w:rPr>
                <w:bCs/>
                <w:color w:val="000000"/>
                <w:sz w:val="24"/>
                <w:szCs w:val="24"/>
                <w:lang w:eastAsia="cs-CZ"/>
              </w:rPr>
            </w:pPr>
          </w:p>
        </w:tc>
        <w:tc>
          <w:tcPr>
            <w:tcW w:w="2012" w:type="dxa"/>
            <w:tcBorders>
              <w:top w:val="nil"/>
              <w:bottom w:val="single" w:sz="4" w:space="0" w:color="auto"/>
            </w:tcBorders>
            <w:noWrap/>
            <w:vAlign w:val="center"/>
            <w:hideMark/>
          </w:tcPr>
          <w:p w:rsidR="00D6513E" w:rsidRPr="00A71C02" w:rsidRDefault="00C32BF0" w:rsidP="00C32BF0">
            <w:pPr>
              <w:spacing w:line="276" w:lineRule="auto"/>
              <w:jc w:val="center"/>
              <w:cnfStyle w:val="000000000000"/>
              <w:rPr>
                <w:bCs/>
                <w:color w:val="000000"/>
                <w:sz w:val="24"/>
                <w:szCs w:val="24"/>
                <w:lang w:eastAsia="cs-CZ"/>
              </w:rPr>
            </w:pPr>
            <w:r>
              <w:rPr>
                <w:bCs/>
                <w:color w:val="000000"/>
                <w:sz w:val="24"/>
                <w:szCs w:val="24"/>
                <w:lang w:eastAsia="cs-CZ"/>
              </w:rPr>
              <w:t>12 804</w:t>
            </w:r>
          </w:p>
        </w:tc>
      </w:tr>
      <w:tr w:rsidR="00D6513E" w:rsidRPr="00A71C02" w:rsidTr="001433CF">
        <w:trPr>
          <w:cnfStyle w:val="000000100000"/>
          <w:trHeight w:val="300"/>
          <w:jc w:val="center"/>
        </w:trPr>
        <w:tc>
          <w:tcPr>
            <w:cnfStyle w:val="001000000000"/>
            <w:tcW w:w="2363"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2017 - 7. 8. 2017</w:t>
            </w:r>
          </w:p>
        </w:tc>
        <w:tc>
          <w:tcPr>
            <w:tcW w:w="1191"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r w:rsidRPr="00A71C02">
              <w:rPr>
                <w:color w:val="000000"/>
                <w:sz w:val="24"/>
                <w:szCs w:val="24"/>
                <w:lang w:eastAsia="cs-CZ"/>
              </w:rPr>
              <w:t>181</w:t>
            </w:r>
          </w:p>
        </w:tc>
        <w:tc>
          <w:tcPr>
            <w:tcW w:w="1508"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rPr>
            </w:pPr>
            <w:r w:rsidRPr="00A71C02">
              <w:rPr>
                <w:color w:val="000000"/>
                <w:sz w:val="24"/>
                <w:szCs w:val="24"/>
              </w:rPr>
              <w:t>0,97</w:t>
            </w:r>
          </w:p>
        </w:tc>
        <w:tc>
          <w:tcPr>
            <w:tcW w:w="1678"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rPr>
            </w:pPr>
            <w:r w:rsidRPr="00A71C02">
              <w:rPr>
                <w:bCs/>
                <w:color w:val="000000"/>
                <w:sz w:val="24"/>
                <w:szCs w:val="24"/>
              </w:rPr>
              <w:t>6 437,57</w:t>
            </w:r>
          </w:p>
        </w:tc>
        <w:tc>
          <w:tcPr>
            <w:tcW w:w="2012" w:type="dxa"/>
            <w:tcBorders>
              <w:top w:val="single" w:sz="4" w:space="0" w:color="auto"/>
            </w:tcBorders>
            <w:shd w:val="clear" w:color="auto" w:fill="D9D9D9" w:themeFill="background1" w:themeFillShade="D9"/>
            <w:noWrap/>
            <w:vAlign w:val="center"/>
            <w:hideMark/>
          </w:tcPr>
          <w:p w:rsidR="00D6513E" w:rsidRPr="00A71C02" w:rsidRDefault="00D6513E" w:rsidP="00C32BF0">
            <w:pPr>
              <w:spacing w:line="276" w:lineRule="auto"/>
              <w:jc w:val="center"/>
              <w:cnfStyle w:val="000000100000"/>
              <w:rPr>
                <w:bCs/>
                <w:color w:val="000000"/>
                <w:sz w:val="24"/>
                <w:szCs w:val="24"/>
                <w:lang w:eastAsia="cs-CZ"/>
              </w:rPr>
            </w:pPr>
          </w:p>
        </w:tc>
      </w:tr>
      <w:tr w:rsidR="00D6513E" w:rsidRPr="00A71C02" w:rsidTr="00C32BF0">
        <w:trPr>
          <w:trHeight w:val="300"/>
          <w:jc w:val="center"/>
        </w:trPr>
        <w:tc>
          <w:tcPr>
            <w:cnfStyle w:val="001000000000"/>
            <w:tcW w:w="2363" w:type="dxa"/>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8. 2017 - 7. 2. 2018</w:t>
            </w:r>
          </w:p>
        </w:tc>
        <w:tc>
          <w:tcPr>
            <w:tcW w:w="1191" w:type="dxa"/>
            <w:noWrap/>
            <w:vAlign w:val="center"/>
            <w:hideMark/>
          </w:tcPr>
          <w:p w:rsidR="00D6513E" w:rsidRPr="00A71C02" w:rsidRDefault="00D6513E" w:rsidP="00C32BF0">
            <w:pPr>
              <w:spacing w:line="276" w:lineRule="auto"/>
              <w:jc w:val="center"/>
              <w:cnfStyle w:val="000000000000"/>
              <w:rPr>
                <w:color w:val="000000"/>
                <w:sz w:val="24"/>
                <w:szCs w:val="24"/>
                <w:lang w:eastAsia="cs-CZ"/>
              </w:rPr>
            </w:pPr>
            <w:r w:rsidRPr="00A71C02">
              <w:rPr>
                <w:color w:val="000000"/>
                <w:sz w:val="24"/>
                <w:szCs w:val="24"/>
                <w:lang w:eastAsia="cs-CZ"/>
              </w:rPr>
              <w:t>184</w:t>
            </w:r>
          </w:p>
        </w:tc>
        <w:tc>
          <w:tcPr>
            <w:tcW w:w="1508" w:type="dxa"/>
            <w:noWrap/>
            <w:vAlign w:val="center"/>
            <w:hideMark/>
          </w:tcPr>
          <w:p w:rsidR="00D6513E" w:rsidRPr="00A71C02" w:rsidRDefault="00D6513E" w:rsidP="00C32BF0">
            <w:pPr>
              <w:spacing w:line="276" w:lineRule="auto"/>
              <w:jc w:val="center"/>
              <w:cnfStyle w:val="000000000000"/>
              <w:rPr>
                <w:color w:val="000000"/>
                <w:sz w:val="24"/>
                <w:szCs w:val="24"/>
              </w:rPr>
            </w:pPr>
            <w:r w:rsidRPr="00A71C02">
              <w:rPr>
                <w:color w:val="000000"/>
                <w:sz w:val="24"/>
                <w:szCs w:val="24"/>
              </w:rPr>
              <w:t>0,91</w:t>
            </w:r>
          </w:p>
        </w:tc>
        <w:tc>
          <w:tcPr>
            <w:tcW w:w="1678" w:type="dxa"/>
            <w:noWrap/>
            <w:vAlign w:val="center"/>
            <w:hideMark/>
          </w:tcPr>
          <w:p w:rsidR="00D6513E" w:rsidRPr="00A71C02" w:rsidRDefault="00D6513E" w:rsidP="00C32BF0">
            <w:pPr>
              <w:spacing w:line="276" w:lineRule="auto"/>
              <w:jc w:val="center"/>
              <w:cnfStyle w:val="000000000000"/>
              <w:rPr>
                <w:bCs/>
                <w:color w:val="000000"/>
                <w:sz w:val="24"/>
                <w:szCs w:val="24"/>
              </w:rPr>
            </w:pPr>
            <w:r w:rsidRPr="00A71C02">
              <w:rPr>
                <w:bCs/>
                <w:color w:val="000000"/>
                <w:sz w:val="24"/>
                <w:szCs w:val="24"/>
              </w:rPr>
              <w:t>6 139,47</w:t>
            </w:r>
          </w:p>
        </w:tc>
        <w:tc>
          <w:tcPr>
            <w:tcW w:w="2012" w:type="dxa"/>
            <w:noWrap/>
            <w:vAlign w:val="center"/>
            <w:hideMark/>
          </w:tcPr>
          <w:p w:rsidR="00D6513E" w:rsidRPr="00A71C02" w:rsidRDefault="00D6513E" w:rsidP="00C32BF0">
            <w:pPr>
              <w:spacing w:line="276" w:lineRule="auto"/>
              <w:jc w:val="center"/>
              <w:cnfStyle w:val="000000000000"/>
              <w:rPr>
                <w:bCs/>
                <w:color w:val="000000"/>
                <w:sz w:val="24"/>
                <w:szCs w:val="24"/>
                <w:lang w:eastAsia="cs-CZ"/>
              </w:rPr>
            </w:pPr>
          </w:p>
        </w:tc>
      </w:tr>
      <w:tr w:rsidR="00D6513E" w:rsidRPr="00A71C02" w:rsidTr="001433CF">
        <w:trPr>
          <w:cnfStyle w:val="000000100000"/>
          <w:trHeight w:val="300"/>
          <w:jc w:val="center"/>
        </w:trPr>
        <w:tc>
          <w:tcPr>
            <w:cnfStyle w:val="001000000000"/>
            <w:tcW w:w="2363" w:type="dxa"/>
            <w:shd w:val="clear" w:color="auto" w:fill="D9D9D9" w:themeFill="background1" w:themeFillShade="D9"/>
            <w:noWrap/>
            <w:vAlign w:val="center"/>
            <w:hideMark/>
          </w:tcPr>
          <w:p w:rsidR="00D6513E" w:rsidRPr="00A71C02" w:rsidRDefault="00D6513E" w:rsidP="00C32BF0">
            <w:pPr>
              <w:spacing w:line="276" w:lineRule="auto"/>
              <w:jc w:val="center"/>
              <w:rPr>
                <w:b w:val="0"/>
                <w:color w:val="000000"/>
                <w:sz w:val="24"/>
                <w:szCs w:val="24"/>
                <w:lang w:eastAsia="cs-CZ"/>
              </w:rPr>
            </w:pPr>
            <w:r w:rsidRPr="00A71C02">
              <w:rPr>
                <w:b w:val="0"/>
                <w:color w:val="000000"/>
                <w:sz w:val="24"/>
                <w:szCs w:val="24"/>
                <w:lang w:eastAsia="cs-CZ"/>
              </w:rPr>
              <w:t>7. 2. 2017 - 7. 2. 2018</w:t>
            </w:r>
          </w:p>
        </w:tc>
        <w:tc>
          <w:tcPr>
            <w:tcW w:w="1191" w:type="dxa"/>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r w:rsidRPr="00A71C02">
              <w:rPr>
                <w:color w:val="000000"/>
                <w:sz w:val="24"/>
                <w:szCs w:val="24"/>
                <w:lang w:eastAsia="cs-CZ"/>
              </w:rPr>
              <w:t>360</w:t>
            </w:r>
          </w:p>
        </w:tc>
        <w:tc>
          <w:tcPr>
            <w:tcW w:w="1508" w:type="dxa"/>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p>
        </w:tc>
        <w:tc>
          <w:tcPr>
            <w:tcW w:w="1678" w:type="dxa"/>
            <w:shd w:val="clear" w:color="auto" w:fill="D9D9D9" w:themeFill="background1" w:themeFillShade="D9"/>
            <w:noWrap/>
            <w:vAlign w:val="center"/>
            <w:hideMark/>
          </w:tcPr>
          <w:p w:rsidR="00D6513E" w:rsidRPr="00A71C02" w:rsidRDefault="00D6513E" w:rsidP="00C32BF0">
            <w:pPr>
              <w:spacing w:line="276" w:lineRule="auto"/>
              <w:jc w:val="center"/>
              <w:cnfStyle w:val="000000100000"/>
              <w:rPr>
                <w:color w:val="000000"/>
                <w:sz w:val="24"/>
                <w:szCs w:val="24"/>
                <w:lang w:eastAsia="cs-CZ"/>
              </w:rPr>
            </w:pPr>
          </w:p>
        </w:tc>
        <w:tc>
          <w:tcPr>
            <w:tcW w:w="2012" w:type="dxa"/>
            <w:shd w:val="clear" w:color="auto" w:fill="D9D9D9" w:themeFill="background1" w:themeFillShade="D9"/>
            <w:noWrap/>
            <w:vAlign w:val="center"/>
            <w:hideMark/>
          </w:tcPr>
          <w:p w:rsidR="00D6513E" w:rsidRPr="00A71C02" w:rsidRDefault="00C32BF0" w:rsidP="00C32BF0">
            <w:pPr>
              <w:keepNext/>
              <w:spacing w:line="276" w:lineRule="auto"/>
              <w:jc w:val="center"/>
              <w:cnfStyle w:val="000000100000"/>
              <w:rPr>
                <w:bCs/>
                <w:color w:val="000000"/>
                <w:sz w:val="24"/>
                <w:szCs w:val="24"/>
                <w:lang w:eastAsia="cs-CZ"/>
              </w:rPr>
            </w:pPr>
            <w:r>
              <w:rPr>
                <w:bCs/>
                <w:color w:val="000000"/>
                <w:sz w:val="24"/>
                <w:szCs w:val="24"/>
                <w:lang w:eastAsia="cs-CZ"/>
              </w:rPr>
              <w:t>12 804</w:t>
            </w:r>
          </w:p>
        </w:tc>
      </w:tr>
      <w:tr w:rsidR="00D6513E" w:rsidRPr="00A71C02" w:rsidTr="00C32BF0">
        <w:trPr>
          <w:cnfStyle w:val="010000000000"/>
          <w:trHeight w:val="300"/>
          <w:jc w:val="center"/>
        </w:trPr>
        <w:tc>
          <w:tcPr>
            <w:cnfStyle w:val="001000000000"/>
            <w:tcW w:w="2363" w:type="dxa"/>
            <w:noWrap/>
            <w:hideMark/>
          </w:tcPr>
          <w:p w:rsidR="00D6513E" w:rsidRPr="00A71C02" w:rsidRDefault="00D6513E" w:rsidP="00C32BF0">
            <w:pPr>
              <w:spacing w:line="276" w:lineRule="auto"/>
              <w:jc w:val="center"/>
              <w:rPr>
                <w:b w:val="0"/>
                <w:color w:val="000000"/>
                <w:sz w:val="24"/>
                <w:szCs w:val="24"/>
                <w:lang w:eastAsia="cs-CZ"/>
              </w:rPr>
            </w:pPr>
          </w:p>
        </w:tc>
        <w:tc>
          <w:tcPr>
            <w:tcW w:w="1191" w:type="dxa"/>
            <w:noWrap/>
            <w:vAlign w:val="center"/>
            <w:hideMark/>
          </w:tcPr>
          <w:p w:rsidR="00D6513E" w:rsidRPr="00A71C02" w:rsidRDefault="00D6513E" w:rsidP="00C32BF0">
            <w:pPr>
              <w:spacing w:line="276" w:lineRule="auto"/>
              <w:jc w:val="center"/>
              <w:cnfStyle w:val="010000000000"/>
              <w:rPr>
                <w:color w:val="000000"/>
                <w:sz w:val="24"/>
                <w:szCs w:val="24"/>
                <w:lang w:eastAsia="cs-CZ"/>
              </w:rPr>
            </w:pPr>
          </w:p>
        </w:tc>
        <w:tc>
          <w:tcPr>
            <w:tcW w:w="1508" w:type="dxa"/>
            <w:noWrap/>
            <w:vAlign w:val="center"/>
            <w:hideMark/>
          </w:tcPr>
          <w:p w:rsidR="00D6513E" w:rsidRPr="00A71C02" w:rsidRDefault="00D6513E" w:rsidP="00C32BF0">
            <w:pPr>
              <w:spacing w:line="276" w:lineRule="auto"/>
              <w:jc w:val="center"/>
              <w:cnfStyle w:val="010000000000"/>
              <w:rPr>
                <w:color w:val="000000"/>
                <w:sz w:val="24"/>
                <w:szCs w:val="24"/>
                <w:lang w:eastAsia="cs-CZ"/>
              </w:rPr>
            </w:pPr>
          </w:p>
        </w:tc>
        <w:tc>
          <w:tcPr>
            <w:tcW w:w="1678" w:type="dxa"/>
            <w:noWrap/>
            <w:vAlign w:val="center"/>
            <w:hideMark/>
          </w:tcPr>
          <w:p w:rsidR="00D6513E" w:rsidRPr="00A71C02" w:rsidRDefault="00D6513E" w:rsidP="00C32BF0">
            <w:pPr>
              <w:spacing w:line="276" w:lineRule="auto"/>
              <w:jc w:val="center"/>
              <w:cnfStyle w:val="010000000000"/>
              <w:rPr>
                <w:color w:val="000000"/>
                <w:sz w:val="24"/>
                <w:szCs w:val="24"/>
                <w:lang w:eastAsia="cs-CZ"/>
              </w:rPr>
            </w:pPr>
            <w:r w:rsidRPr="00A71C02">
              <w:rPr>
                <w:color w:val="000000"/>
                <w:sz w:val="24"/>
                <w:szCs w:val="24"/>
                <w:lang w:eastAsia="cs-CZ"/>
              </w:rPr>
              <w:t>53 650,67</w:t>
            </w:r>
          </w:p>
        </w:tc>
        <w:tc>
          <w:tcPr>
            <w:tcW w:w="2012" w:type="dxa"/>
            <w:noWrap/>
            <w:vAlign w:val="center"/>
            <w:hideMark/>
          </w:tcPr>
          <w:p w:rsidR="00D6513E" w:rsidRPr="00A71C02" w:rsidRDefault="00C32BF0" w:rsidP="00C32BF0">
            <w:pPr>
              <w:keepNext/>
              <w:spacing w:line="276" w:lineRule="auto"/>
              <w:jc w:val="center"/>
              <w:cnfStyle w:val="010000000000"/>
              <w:rPr>
                <w:bCs w:val="0"/>
                <w:color w:val="000000"/>
                <w:sz w:val="24"/>
                <w:szCs w:val="24"/>
                <w:lang w:eastAsia="cs-CZ"/>
              </w:rPr>
            </w:pPr>
            <w:r>
              <w:rPr>
                <w:bCs w:val="0"/>
                <w:color w:val="000000"/>
                <w:sz w:val="24"/>
                <w:szCs w:val="24"/>
                <w:lang w:eastAsia="cs-CZ"/>
              </w:rPr>
              <w:t>64 020</w:t>
            </w:r>
          </w:p>
        </w:tc>
      </w:tr>
    </w:tbl>
    <w:p w:rsidR="002A0F6F" w:rsidRDefault="00C32BF0" w:rsidP="00C32BF0">
      <w:pPr>
        <w:spacing w:before="240" w:line="276" w:lineRule="auto"/>
        <w:jc w:val="both"/>
        <w:rPr>
          <w:i/>
          <w:sz w:val="20"/>
        </w:rPr>
      </w:pPr>
      <w:r>
        <w:rPr>
          <w:i/>
          <w:sz w:val="20"/>
        </w:rPr>
        <w:t xml:space="preserve">Pramen: </w:t>
      </w:r>
      <w:r w:rsidR="00D6513E" w:rsidRPr="00C32BF0">
        <w:rPr>
          <w:i/>
          <w:sz w:val="20"/>
        </w:rPr>
        <w:t xml:space="preserve">Vlastní </w:t>
      </w:r>
      <w:r w:rsidR="002A0F6F">
        <w:rPr>
          <w:i/>
          <w:sz w:val="20"/>
        </w:rPr>
        <w:t>zpracování</w:t>
      </w:r>
      <w:r w:rsidR="00734CB8">
        <w:rPr>
          <w:i/>
          <w:sz w:val="20"/>
        </w:rPr>
        <w:t xml:space="preserve">. </w:t>
      </w:r>
    </w:p>
    <w:p w:rsidR="00D6513E" w:rsidRDefault="007A35D1" w:rsidP="00C32BF0">
      <w:pPr>
        <w:spacing w:after="240" w:line="276" w:lineRule="auto"/>
        <w:jc w:val="both"/>
        <w:rPr>
          <w:i/>
          <w:sz w:val="20"/>
        </w:rPr>
      </w:pPr>
      <w:r>
        <w:rPr>
          <w:i/>
          <w:sz w:val="20"/>
        </w:rPr>
        <w:t>Úrokové sazby</w:t>
      </w:r>
      <w:r w:rsidR="00734CB8">
        <w:rPr>
          <w:i/>
          <w:sz w:val="20"/>
        </w:rPr>
        <w:t xml:space="preserve"> </w:t>
      </w:r>
      <w:r>
        <w:rPr>
          <w:i/>
          <w:sz w:val="20"/>
        </w:rPr>
        <w:t>jsou uvedeny v procentech, h</w:t>
      </w:r>
      <w:r w:rsidR="00734CB8">
        <w:rPr>
          <w:i/>
          <w:sz w:val="20"/>
        </w:rPr>
        <w:t>odnoty plateb jsou uvedeny v amerických dolarech.</w:t>
      </w:r>
    </w:p>
    <w:p w:rsidR="00C32BF0" w:rsidRPr="00C32BF0" w:rsidRDefault="00C32BF0" w:rsidP="00C32BF0">
      <w:pPr>
        <w:spacing w:before="240" w:after="240" w:line="276" w:lineRule="auto"/>
        <w:jc w:val="both"/>
      </w:pPr>
    </w:p>
    <w:p w:rsidR="00D6513E" w:rsidRDefault="00D6513E" w:rsidP="00D6513E">
      <w:pPr>
        <w:autoSpaceDE w:val="0"/>
        <w:autoSpaceDN w:val="0"/>
        <w:adjustRightInd w:val="0"/>
        <w:spacing w:after="240" w:line="276" w:lineRule="auto"/>
        <w:jc w:val="both"/>
        <w:rPr>
          <w:rFonts w:eastAsia="TimesNewRoman"/>
          <w:color w:val="09990C"/>
          <w:szCs w:val="23"/>
        </w:rPr>
      </w:pPr>
      <w:r>
        <w:rPr>
          <w:rFonts w:eastAsia="TimesNewRoman"/>
          <w:szCs w:val="23"/>
        </w:rPr>
        <w:t xml:space="preserve">Platby mezi swapovými partnery probíhají tak, jak je naznačeno v Tabulce </w:t>
      </w:r>
      <w:r w:rsidR="00C32BF0">
        <w:rPr>
          <w:rFonts w:eastAsia="TimesNewRoman"/>
          <w:szCs w:val="23"/>
        </w:rPr>
        <w:t>4</w:t>
      </w:r>
      <w:r>
        <w:rPr>
          <w:rFonts w:eastAsia="TimesNewRoman"/>
          <w:szCs w:val="23"/>
        </w:rPr>
        <w:t>. Nedochází k vyrovnávacím platbám</w:t>
      </w:r>
      <w:r w:rsidR="00902453">
        <w:rPr>
          <w:rFonts w:eastAsia="TimesNewRoman"/>
          <w:szCs w:val="23"/>
        </w:rPr>
        <w:t>, strany si navzájem platí celé částky úrokové platby</w:t>
      </w:r>
      <w:r>
        <w:rPr>
          <w:rFonts w:eastAsia="TimesNewRoman"/>
          <w:szCs w:val="23"/>
        </w:rPr>
        <w:t>. To je dáno tím, že jsou výplaty jednotlivých úrokový</w:t>
      </w:r>
      <w:r w:rsidR="00AC56EA">
        <w:rPr>
          <w:rFonts w:eastAsia="TimesNewRoman"/>
          <w:szCs w:val="23"/>
        </w:rPr>
        <w:t>ch plateb uskutečňovány v různých časových intervalech</w:t>
      </w:r>
      <w:r>
        <w:rPr>
          <w:rFonts w:eastAsia="TimesNewRoman"/>
          <w:szCs w:val="23"/>
        </w:rPr>
        <w:t>. Úroky se tedy platí v hrubých částkách.</w:t>
      </w:r>
    </w:p>
    <w:p w:rsidR="00D6513E" w:rsidRDefault="00D6513E" w:rsidP="00D6513E">
      <w:pPr>
        <w:spacing w:before="240" w:after="240" w:line="276" w:lineRule="auto"/>
        <w:jc w:val="both"/>
      </w:pPr>
      <w:r>
        <w:t xml:space="preserve">Celkově společnost </w:t>
      </w:r>
      <w:r w:rsidR="00361DA1">
        <w:t>Delor</w:t>
      </w:r>
      <w:r>
        <w:t xml:space="preserve"> od swapového partnera v případě daného úrokového vývoje inkasuje 53 650,67 </w:t>
      </w:r>
      <w:r w:rsidR="00447807">
        <w:t>USD</w:t>
      </w:r>
      <w:r>
        <w:t xml:space="preserve">. </w:t>
      </w:r>
      <w:r w:rsidR="00734CB8">
        <w:t xml:space="preserve">Sama mu </w:t>
      </w:r>
      <w:r>
        <w:t xml:space="preserve">naopak zaplatí </w:t>
      </w:r>
      <w:r w:rsidR="00734CB8">
        <w:t>64 020</w:t>
      </w:r>
      <w:r>
        <w:t xml:space="preserve"> </w:t>
      </w:r>
      <w:r w:rsidR="00447807">
        <w:t>USD</w:t>
      </w:r>
      <w:r>
        <w:t xml:space="preserve">. </w:t>
      </w:r>
      <w:r w:rsidR="00361DA1">
        <w:t>Delor</w:t>
      </w:r>
      <w:r w:rsidR="00734CB8">
        <w:t xml:space="preserve"> tedy dostane od</w:t>
      </w:r>
      <w:r w:rsidR="007A35D1">
        <w:t> </w:t>
      </w:r>
      <w:r w:rsidR="00734CB8">
        <w:t>swapového partnera</w:t>
      </w:r>
      <w:r>
        <w:t xml:space="preserve"> o </w:t>
      </w:r>
      <w:r w:rsidR="00734CB8">
        <w:t>10 369</w:t>
      </w:r>
      <w:r>
        <w:t xml:space="preserve">,33 </w:t>
      </w:r>
      <w:r w:rsidR="00447807">
        <w:t>USD</w:t>
      </w:r>
      <w:r>
        <w:t xml:space="preserve"> méně, než kolik sama zaplatila.</w:t>
      </w:r>
    </w:p>
    <w:p w:rsidR="00734CB8" w:rsidRDefault="00D6513E" w:rsidP="00D6513E">
      <w:pPr>
        <w:spacing w:before="240" w:after="240" w:line="276" w:lineRule="auto"/>
        <w:jc w:val="both"/>
      </w:pPr>
      <w:r>
        <w:t xml:space="preserve">Současně </w:t>
      </w:r>
      <w:r w:rsidR="00734CB8">
        <w:t>musí společnost</w:t>
      </w:r>
      <w:r>
        <w:t xml:space="preserve"> pololetn</w:t>
      </w:r>
      <w:r w:rsidR="006C3B8C">
        <w:t>ě splácet úvěr sjednaný 7. 2. </w:t>
      </w:r>
      <w:r>
        <w:t>2013 na pět let u jiné banky. Ten je úročený variabil</w:t>
      </w:r>
      <w:r w:rsidR="006C3B8C">
        <w:t>ní úrokovou sazbou 6M LIBOR</w:t>
      </w:r>
      <w:r w:rsidR="007A35D1">
        <w:t xml:space="preserve"> USD</w:t>
      </w:r>
      <w:r w:rsidR="006C3B8C">
        <w:t xml:space="preserve"> + 1 </w:t>
      </w:r>
      <w:r>
        <w:t>% p.a. Výše pevné části splátky je</w:t>
      </w:r>
      <w:r w:rsidR="00734CB8">
        <w:t> </w:t>
      </w:r>
      <w:r>
        <w:t>stanovena na 132 0</w:t>
      </w:r>
      <w:r w:rsidR="006C3B8C">
        <w:t xml:space="preserve">00 </w:t>
      </w:r>
      <w:r w:rsidR="00447807">
        <w:t>USD</w:t>
      </w:r>
      <w:r w:rsidR="006C3B8C">
        <w:t>. První splátka proběhne 7. 8. </w:t>
      </w:r>
      <w:r>
        <w:t>2013. Každ</w:t>
      </w:r>
      <w:r w:rsidR="00AC56EA">
        <w:t>ého</w:t>
      </w:r>
      <w:r>
        <w:t xml:space="preserve"> půl rok</w:t>
      </w:r>
      <w:r w:rsidR="00AC56EA">
        <w:t>u</w:t>
      </w:r>
      <w:r>
        <w:t xml:space="preserve"> dochází ke</w:t>
      </w:r>
      <w:r w:rsidR="00734CB8">
        <w:t> </w:t>
      </w:r>
      <w:r>
        <w:t xml:space="preserve">splacení části úvěru. Nominální hodnota, od které se odvíjí výše úroku, se tedy snižuje. Jednotlivé peněžní toky jsou znázorněny v Tabulce </w:t>
      </w:r>
      <w:r w:rsidR="006C3B8C">
        <w:t>5.</w:t>
      </w:r>
    </w:p>
    <w:p w:rsidR="00734CB8" w:rsidRDefault="00734CB8">
      <w:pPr>
        <w:suppressAutoHyphens w:val="0"/>
        <w:spacing w:after="200" w:line="276" w:lineRule="auto"/>
      </w:pPr>
      <w:r>
        <w:br w:type="page"/>
      </w:r>
    </w:p>
    <w:p w:rsidR="006C3B8C" w:rsidRPr="006C3B8C" w:rsidRDefault="006C3B8C" w:rsidP="006C3B8C">
      <w:pPr>
        <w:pStyle w:val="Titulek"/>
        <w:keepNext/>
        <w:spacing w:line="276" w:lineRule="auto"/>
        <w:jc w:val="both"/>
        <w:rPr>
          <w:rFonts w:ascii="Times New Roman" w:hAnsi="Times New Roman" w:cs="Times New Roman"/>
          <w:b w:val="0"/>
          <w:color w:val="auto"/>
          <w:sz w:val="24"/>
        </w:rPr>
      </w:pPr>
      <w:bookmarkStart w:id="85" w:name="_Toc354393028"/>
      <w:r w:rsidRPr="006C3B8C">
        <w:rPr>
          <w:rFonts w:ascii="Times New Roman" w:hAnsi="Times New Roman" w:cs="Times New Roman"/>
          <w:b w:val="0"/>
          <w:color w:val="auto"/>
          <w:sz w:val="24"/>
        </w:rPr>
        <w:lastRenderedPageBreak/>
        <w:t xml:space="preserve">Tabulka </w:t>
      </w:r>
      <w:r w:rsidR="00FA567C" w:rsidRPr="006C3B8C">
        <w:rPr>
          <w:rFonts w:ascii="Times New Roman" w:hAnsi="Times New Roman" w:cs="Times New Roman"/>
          <w:b w:val="0"/>
          <w:color w:val="auto"/>
          <w:sz w:val="24"/>
        </w:rPr>
        <w:fldChar w:fldCharType="begin"/>
      </w:r>
      <w:r w:rsidRPr="006C3B8C">
        <w:rPr>
          <w:rFonts w:ascii="Times New Roman" w:hAnsi="Times New Roman" w:cs="Times New Roman"/>
          <w:b w:val="0"/>
          <w:color w:val="auto"/>
          <w:sz w:val="24"/>
        </w:rPr>
        <w:instrText xml:space="preserve"> SEQ Tabulka \* ARABIC </w:instrText>
      </w:r>
      <w:r w:rsidR="00FA567C" w:rsidRPr="006C3B8C">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5</w:t>
      </w:r>
      <w:r w:rsidR="00FA567C" w:rsidRPr="006C3B8C">
        <w:rPr>
          <w:rFonts w:ascii="Times New Roman" w:hAnsi="Times New Roman" w:cs="Times New Roman"/>
          <w:b w:val="0"/>
          <w:color w:val="auto"/>
          <w:sz w:val="24"/>
        </w:rPr>
        <w:fldChar w:fldCharType="end"/>
      </w:r>
      <w:r w:rsidRPr="006C3B8C">
        <w:rPr>
          <w:rFonts w:ascii="Times New Roman" w:hAnsi="Times New Roman" w:cs="Times New Roman"/>
          <w:b w:val="0"/>
          <w:color w:val="auto"/>
          <w:sz w:val="24"/>
        </w:rPr>
        <w:t>: Splátky úvěru</w:t>
      </w:r>
      <w:bookmarkEnd w:id="85"/>
    </w:p>
    <w:tbl>
      <w:tblPr>
        <w:tblStyle w:val="Svtlstnovn1"/>
        <w:tblW w:w="8964" w:type="dxa"/>
        <w:jc w:val="center"/>
        <w:tblLook w:val="0460"/>
      </w:tblPr>
      <w:tblGrid>
        <w:gridCol w:w="2440"/>
        <w:gridCol w:w="1220"/>
        <w:gridCol w:w="1869"/>
        <w:gridCol w:w="1740"/>
        <w:gridCol w:w="1695"/>
      </w:tblGrid>
      <w:tr w:rsidR="00D6513E" w:rsidRPr="003E0EAF" w:rsidTr="00EA1E1F">
        <w:trPr>
          <w:cnfStyle w:val="100000000000"/>
          <w:trHeight w:val="317"/>
          <w:jc w:val="center"/>
        </w:trPr>
        <w:tc>
          <w:tcPr>
            <w:tcW w:w="2440" w:type="dxa"/>
            <w:vAlign w:val="center"/>
            <w:hideMark/>
          </w:tcPr>
          <w:p w:rsidR="00D6513E" w:rsidRPr="003E0EAF" w:rsidRDefault="006C3B8C" w:rsidP="006C3B8C">
            <w:pPr>
              <w:spacing w:line="276" w:lineRule="auto"/>
              <w:jc w:val="center"/>
              <w:rPr>
                <w:color w:val="000000"/>
                <w:sz w:val="24"/>
                <w:szCs w:val="24"/>
                <w:lang w:eastAsia="cs-CZ"/>
              </w:rPr>
            </w:pPr>
            <w:r>
              <w:rPr>
                <w:color w:val="000000"/>
                <w:sz w:val="24"/>
                <w:szCs w:val="24"/>
                <w:lang w:eastAsia="cs-CZ"/>
              </w:rPr>
              <w:t>Období</w:t>
            </w:r>
          </w:p>
        </w:tc>
        <w:tc>
          <w:tcPr>
            <w:tcW w:w="1220" w:type="dxa"/>
            <w:vAlign w:val="center"/>
            <w:hideMark/>
          </w:tcPr>
          <w:p w:rsidR="00D6513E" w:rsidRPr="003E0EAF" w:rsidRDefault="006C3B8C" w:rsidP="006C3B8C">
            <w:pPr>
              <w:spacing w:line="276" w:lineRule="auto"/>
              <w:jc w:val="center"/>
              <w:rPr>
                <w:color w:val="000000"/>
                <w:sz w:val="24"/>
                <w:szCs w:val="24"/>
                <w:lang w:eastAsia="cs-CZ"/>
              </w:rPr>
            </w:pPr>
            <w:r>
              <w:rPr>
                <w:color w:val="000000"/>
                <w:sz w:val="24"/>
                <w:szCs w:val="24"/>
                <w:lang w:eastAsia="cs-CZ"/>
              </w:rPr>
              <w:t>Hodnota úvěru</w:t>
            </w:r>
          </w:p>
        </w:tc>
        <w:tc>
          <w:tcPr>
            <w:tcW w:w="1869" w:type="dxa"/>
            <w:vAlign w:val="center"/>
            <w:hideMark/>
          </w:tcPr>
          <w:p w:rsidR="00D6513E" w:rsidRPr="003E0EAF" w:rsidRDefault="006C3B8C" w:rsidP="006C3B8C">
            <w:pPr>
              <w:spacing w:line="276" w:lineRule="auto"/>
              <w:jc w:val="center"/>
              <w:rPr>
                <w:color w:val="000000"/>
                <w:sz w:val="24"/>
                <w:szCs w:val="24"/>
                <w:lang w:eastAsia="cs-CZ"/>
              </w:rPr>
            </w:pPr>
            <w:r>
              <w:rPr>
                <w:color w:val="000000"/>
                <w:sz w:val="24"/>
                <w:szCs w:val="24"/>
                <w:lang w:eastAsia="cs-CZ"/>
              </w:rPr>
              <w:t>Část splátky – 6M LIBOR</w:t>
            </w:r>
          </w:p>
        </w:tc>
        <w:tc>
          <w:tcPr>
            <w:tcW w:w="1740" w:type="dxa"/>
            <w:vAlign w:val="center"/>
            <w:hideMark/>
          </w:tcPr>
          <w:p w:rsidR="00D6513E" w:rsidRPr="003E0EAF" w:rsidRDefault="006C3B8C" w:rsidP="006C3B8C">
            <w:pPr>
              <w:spacing w:line="276" w:lineRule="auto"/>
              <w:jc w:val="center"/>
              <w:rPr>
                <w:color w:val="000000"/>
                <w:sz w:val="24"/>
                <w:szCs w:val="24"/>
                <w:lang w:eastAsia="cs-CZ"/>
              </w:rPr>
            </w:pPr>
            <w:r>
              <w:rPr>
                <w:color w:val="000000"/>
                <w:sz w:val="24"/>
                <w:szCs w:val="24"/>
                <w:lang w:eastAsia="cs-CZ"/>
              </w:rPr>
              <w:t>Část splátky – 1 %</w:t>
            </w:r>
          </w:p>
        </w:tc>
        <w:tc>
          <w:tcPr>
            <w:tcW w:w="1695" w:type="dxa"/>
            <w:vAlign w:val="center"/>
            <w:hideMark/>
          </w:tcPr>
          <w:p w:rsidR="00D6513E" w:rsidRPr="003E0EAF" w:rsidRDefault="006C3B8C" w:rsidP="006C3B8C">
            <w:pPr>
              <w:spacing w:line="276" w:lineRule="auto"/>
              <w:jc w:val="center"/>
              <w:rPr>
                <w:color w:val="000000"/>
                <w:sz w:val="24"/>
                <w:szCs w:val="24"/>
                <w:lang w:eastAsia="cs-CZ"/>
              </w:rPr>
            </w:pPr>
            <w:r>
              <w:rPr>
                <w:color w:val="000000"/>
                <w:sz w:val="24"/>
                <w:szCs w:val="24"/>
                <w:lang w:eastAsia="cs-CZ"/>
              </w:rPr>
              <w:t>Splátka úroku celkem</w:t>
            </w:r>
          </w:p>
        </w:tc>
      </w:tr>
      <w:tr w:rsidR="00D6513E" w:rsidRPr="003E0EAF" w:rsidTr="001433CF">
        <w:trPr>
          <w:cnfStyle w:val="000000100000"/>
          <w:trHeight w:val="300"/>
          <w:jc w:val="center"/>
        </w:trPr>
        <w:tc>
          <w:tcPr>
            <w:tcW w:w="2440" w:type="dxa"/>
            <w:shd w:val="clear" w:color="auto" w:fill="D9D9D9" w:themeFill="background1" w:themeFillShade="D9"/>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2. 2013 - 7. 8. 2013</w:t>
            </w:r>
          </w:p>
        </w:tc>
        <w:tc>
          <w:tcPr>
            <w:tcW w:w="1220" w:type="dxa"/>
            <w:shd w:val="clear" w:color="auto" w:fill="D9D9D9" w:themeFill="background1" w:themeFillShade="D9"/>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1 188 000</w:t>
            </w:r>
          </w:p>
        </w:tc>
        <w:tc>
          <w:tcPr>
            <w:tcW w:w="1869" w:type="dxa"/>
            <w:shd w:val="clear" w:color="auto" w:fill="D9D9D9" w:themeFill="background1" w:themeFillShade="D9"/>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3 119,23</w:t>
            </w:r>
          </w:p>
        </w:tc>
        <w:tc>
          <w:tcPr>
            <w:tcW w:w="1740"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6 636,67</w:t>
            </w:r>
          </w:p>
        </w:tc>
        <w:tc>
          <w:tcPr>
            <w:tcW w:w="1695"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9 755,90</w:t>
            </w:r>
          </w:p>
        </w:tc>
      </w:tr>
      <w:tr w:rsidR="00D6513E" w:rsidRPr="003E0EAF" w:rsidTr="00EA1E1F">
        <w:trPr>
          <w:trHeight w:val="300"/>
          <w:jc w:val="center"/>
        </w:trPr>
        <w:tc>
          <w:tcPr>
            <w:tcW w:w="2440" w:type="dxa"/>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8. 2013 - 7. 2. 2014</w:t>
            </w:r>
          </w:p>
        </w:tc>
        <w:tc>
          <w:tcPr>
            <w:tcW w:w="1220" w:type="dxa"/>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1 056 000</w:t>
            </w:r>
          </w:p>
        </w:tc>
        <w:tc>
          <w:tcPr>
            <w:tcW w:w="1869" w:type="dxa"/>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3 096,72</w:t>
            </w:r>
          </w:p>
        </w:tc>
        <w:tc>
          <w:tcPr>
            <w:tcW w:w="1740"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6 072,00</w:t>
            </w:r>
          </w:p>
        </w:tc>
        <w:tc>
          <w:tcPr>
            <w:tcW w:w="1695"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9 168,72</w:t>
            </w:r>
          </w:p>
        </w:tc>
      </w:tr>
      <w:tr w:rsidR="00D6513E" w:rsidRPr="003E0EAF" w:rsidTr="001433CF">
        <w:trPr>
          <w:cnfStyle w:val="000000100000"/>
          <w:trHeight w:val="300"/>
          <w:jc w:val="center"/>
        </w:trPr>
        <w:tc>
          <w:tcPr>
            <w:tcW w:w="2440" w:type="dxa"/>
            <w:shd w:val="clear" w:color="auto" w:fill="D9D9D9" w:themeFill="background1" w:themeFillShade="D9"/>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2. 2014 - 7. 8. 2014</w:t>
            </w:r>
          </w:p>
        </w:tc>
        <w:tc>
          <w:tcPr>
            <w:tcW w:w="1220" w:type="dxa"/>
            <w:shd w:val="clear" w:color="auto" w:fill="D9D9D9" w:themeFill="background1" w:themeFillShade="D9"/>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924 000</w:t>
            </w:r>
          </w:p>
        </w:tc>
        <w:tc>
          <w:tcPr>
            <w:tcW w:w="1869" w:type="dxa"/>
            <w:shd w:val="clear" w:color="auto" w:fill="D9D9D9" w:themeFill="background1" w:themeFillShade="D9"/>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2 654,67</w:t>
            </w:r>
          </w:p>
        </w:tc>
        <w:tc>
          <w:tcPr>
            <w:tcW w:w="1740"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5 309,33</w:t>
            </w:r>
          </w:p>
        </w:tc>
        <w:tc>
          <w:tcPr>
            <w:tcW w:w="1695"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7 964,00</w:t>
            </w:r>
          </w:p>
        </w:tc>
      </w:tr>
      <w:tr w:rsidR="00D6513E" w:rsidRPr="003E0EAF" w:rsidTr="00EA1E1F">
        <w:trPr>
          <w:trHeight w:val="300"/>
          <w:jc w:val="center"/>
        </w:trPr>
        <w:tc>
          <w:tcPr>
            <w:tcW w:w="2440" w:type="dxa"/>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8. 2014 - 7. 2. 2015</w:t>
            </w:r>
          </w:p>
        </w:tc>
        <w:tc>
          <w:tcPr>
            <w:tcW w:w="1220" w:type="dxa"/>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792 000</w:t>
            </w:r>
          </w:p>
        </w:tc>
        <w:tc>
          <w:tcPr>
            <w:tcW w:w="1869" w:type="dxa"/>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3 164,19</w:t>
            </w:r>
          </w:p>
        </w:tc>
        <w:tc>
          <w:tcPr>
            <w:tcW w:w="1740"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4 722,67</w:t>
            </w:r>
          </w:p>
        </w:tc>
        <w:tc>
          <w:tcPr>
            <w:tcW w:w="1695"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7 886,85</w:t>
            </w:r>
          </w:p>
        </w:tc>
      </w:tr>
      <w:tr w:rsidR="00D6513E" w:rsidRPr="003E0EAF" w:rsidTr="001433CF">
        <w:trPr>
          <w:cnfStyle w:val="000000100000"/>
          <w:trHeight w:val="300"/>
          <w:jc w:val="center"/>
        </w:trPr>
        <w:tc>
          <w:tcPr>
            <w:tcW w:w="2440" w:type="dxa"/>
            <w:shd w:val="clear" w:color="auto" w:fill="D9D9D9" w:themeFill="background1" w:themeFillShade="D9"/>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2. 2015 - 7. 8. 2015</w:t>
            </w:r>
          </w:p>
        </w:tc>
        <w:tc>
          <w:tcPr>
            <w:tcW w:w="1220" w:type="dxa"/>
            <w:shd w:val="clear" w:color="auto" w:fill="D9D9D9" w:themeFill="background1" w:themeFillShade="D9"/>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660 000</w:t>
            </w:r>
          </w:p>
        </w:tc>
        <w:tc>
          <w:tcPr>
            <w:tcW w:w="1869" w:type="dxa"/>
            <w:shd w:val="clear" w:color="auto" w:fill="D9D9D9" w:themeFill="background1" w:themeFillShade="D9"/>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3 265,24</w:t>
            </w:r>
          </w:p>
        </w:tc>
        <w:tc>
          <w:tcPr>
            <w:tcW w:w="1740"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3 982,00</w:t>
            </w:r>
          </w:p>
        </w:tc>
        <w:tc>
          <w:tcPr>
            <w:tcW w:w="1695"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7 247,24</w:t>
            </w:r>
          </w:p>
        </w:tc>
      </w:tr>
      <w:tr w:rsidR="00D6513E" w:rsidRPr="003E0EAF" w:rsidTr="00EA1E1F">
        <w:trPr>
          <w:trHeight w:val="300"/>
          <w:jc w:val="center"/>
        </w:trPr>
        <w:tc>
          <w:tcPr>
            <w:tcW w:w="2440" w:type="dxa"/>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8. 2015 - 7. 2. 2016</w:t>
            </w:r>
          </w:p>
        </w:tc>
        <w:tc>
          <w:tcPr>
            <w:tcW w:w="1220" w:type="dxa"/>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528 000</w:t>
            </w:r>
          </w:p>
        </w:tc>
        <w:tc>
          <w:tcPr>
            <w:tcW w:w="1869" w:type="dxa"/>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3 238,40</w:t>
            </w:r>
          </w:p>
        </w:tc>
        <w:tc>
          <w:tcPr>
            <w:tcW w:w="1740"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3 373,33</w:t>
            </w:r>
          </w:p>
        </w:tc>
        <w:tc>
          <w:tcPr>
            <w:tcW w:w="1695"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6 611,73</w:t>
            </w:r>
          </w:p>
        </w:tc>
      </w:tr>
      <w:tr w:rsidR="00D6513E" w:rsidRPr="003E0EAF" w:rsidTr="001433CF">
        <w:trPr>
          <w:cnfStyle w:val="000000100000"/>
          <w:trHeight w:val="300"/>
          <w:jc w:val="center"/>
        </w:trPr>
        <w:tc>
          <w:tcPr>
            <w:tcW w:w="2440" w:type="dxa"/>
            <w:shd w:val="clear" w:color="auto" w:fill="D9D9D9" w:themeFill="background1" w:themeFillShade="D9"/>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2. 2016 - 7. 8. 2016</w:t>
            </w:r>
          </w:p>
        </w:tc>
        <w:tc>
          <w:tcPr>
            <w:tcW w:w="1220" w:type="dxa"/>
            <w:shd w:val="clear" w:color="auto" w:fill="D9D9D9" w:themeFill="background1" w:themeFillShade="D9"/>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396 000</w:t>
            </w:r>
          </w:p>
        </w:tc>
        <w:tc>
          <w:tcPr>
            <w:tcW w:w="1869" w:type="dxa"/>
            <w:shd w:val="clear" w:color="auto" w:fill="D9D9D9" w:themeFill="background1" w:themeFillShade="D9"/>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3 149,81</w:t>
            </w:r>
          </w:p>
        </w:tc>
        <w:tc>
          <w:tcPr>
            <w:tcW w:w="1740"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2 669,33</w:t>
            </w:r>
          </w:p>
        </w:tc>
        <w:tc>
          <w:tcPr>
            <w:tcW w:w="1695"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5 819,15</w:t>
            </w:r>
          </w:p>
        </w:tc>
      </w:tr>
      <w:tr w:rsidR="00D6513E" w:rsidRPr="003E0EAF" w:rsidTr="00EA1E1F">
        <w:trPr>
          <w:trHeight w:val="300"/>
          <w:jc w:val="center"/>
        </w:trPr>
        <w:tc>
          <w:tcPr>
            <w:tcW w:w="2440" w:type="dxa"/>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8. 2016 - 7. 2. 2017</w:t>
            </w:r>
          </w:p>
        </w:tc>
        <w:tc>
          <w:tcPr>
            <w:tcW w:w="1220" w:type="dxa"/>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264 000</w:t>
            </w:r>
          </w:p>
        </w:tc>
        <w:tc>
          <w:tcPr>
            <w:tcW w:w="1869" w:type="dxa"/>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2 064,48</w:t>
            </w:r>
          </w:p>
        </w:tc>
        <w:tc>
          <w:tcPr>
            <w:tcW w:w="1740"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2 024,00</w:t>
            </w:r>
          </w:p>
        </w:tc>
        <w:tc>
          <w:tcPr>
            <w:tcW w:w="1695"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4 088,48</w:t>
            </w:r>
          </w:p>
        </w:tc>
      </w:tr>
      <w:tr w:rsidR="00D6513E" w:rsidRPr="003E0EAF" w:rsidTr="001433CF">
        <w:trPr>
          <w:cnfStyle w:val="000000100000"/>
          <w:trHeight w:val="300"/>
          <w:jc w:val="center"/>
        </w:trPr>
        <w:tc>
          <w:tcPr>
            <w:tcW w:w="2440" w:type="dxa"/>
            <w:shd w:val="clear" w:color="auto" w:fill="D9D9D9" w:themeFill="background1" w:themeFillShade="D9"/>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2. 2017 - 7. 8. 2017</w:t>
            </w:r>
          </w:p>
        </w:tc>
        <w:tc>
          <w:tcPr>
            <w:tcW w:w="1220" w:type="dxa"/>
            <w:shd w:val="clear" w:color="auto" w:fill="D9D9D9" w:themeFill="background1" w:themeFillShade="D9"/>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132 000</w:t>
            </w:r>
          </w:p>
        </w:tc>
        <w:tc>
          <w:tcPr>
            <w:tcW w:w="1869" w:type="dxa"/>
            <w:shd w:val="clear" w:color="auto" w:fill="D9D9D9" w:themeFill="background1" w:themeFillShade="D9"/>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1 287,51</w:t>
            </w:r>
          </w:p>
        </w:tc>
        <w:tc>
          <w:tcPr>
            <w:tcW w:w="1740"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1 327,33</w:t>
            </w:r>
          </w:p>
        </w:tc>
        <w:tc>
          <w:tcPr>
            <w:tcW w:w="1695" w:type="dxa"/>
            <w:shd w:val="clear" w:color="auto" w:fill="D9D9D9" w:themeFill="background1" w:themeFillShade="D9"/>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2 614,85</w:t>
            </w:r>
          </w:p>
        </w:tc>
      </w:tr>
      <w:tr w:rsidR="00D6513E" w:rsidRPr="003E0EAF" w:rsidTr="00EA1E1F">
        <w:trPr>
          <w:trHeight w:val="300"/>
          <w:jc w:val="center"/>
        </w:trPr>
        <w:tc>
          <w:tcPr>
            <w:tcW w:w="2440" w:type="dxa"/>
            <w:noWrap/>
            <w:vAlign w:val="center"/>
            <w:hideMark/>
          </w:tcPr>
          <w:p w:rsidR="00D6513E" w:rsidRPr="003E0EAF" w:rsidRDefault="00D6513E" w:rsidP="006C3B8C">
            <w:pPr>
              <w:spacing w:line="276" w:lineRule="auto"/>
              <w:jc w:val="center"/>
              <w:rPr>
                <w:b/>
                <w:color w:val="000000"/>
                <w:sz w:val="24"/>
                <w:szCs w:val="24"/>
                <w:lang w:eastAsia="cs-CZ"/>
              </w:rPr>
            </w:pPr>
            <w:r w:rsidRPr="003E0EAF">
              <w:rPr>
                <w:color w:val="000000"/>
                <w:sz w:val="24"/>
                <w:szCs w:val="24"/>
                <w:lang w:eastAsia="cs-CZ"/>
              </w:rPr>
              <w:t>7. 8. 2017 - 7. 2. 2018</w:t>
            </w:r>
          </w:p>
        </w:tc>
        <w:tc>
          <w:tcPr>
            <w:tcW w:w="1220" w:type="dxa"/>
            <w:noWrap/>
            <w:vAlign w:val="center"/>
            <w:hideMark/>
          </w:tcPr>
          <w:p w:rsidR="00D6513E" w:rsidRPr="003E0EAF" w:rsidRDefault="00D6513E" w:rsidP="006C3B8C">
            <w:pPr>
              <w:spacing w:line="276" w:lineRule="auto"/>
              <w:jc w:val="center"/>
              <w:rPr>
                <w:color w:val="000000"/>
                <w:sz w:val="24"/>
                <w:szCs w:val="24"/>
                <w:lang w:eastAsia="cs-CZ"/>
              </w:rPr>
            </w:pPr>
            <w:r w:rsidRPr="003E0EAF">
              <w:rPr>
                <w:color w:val="000000"/>
                <w:sz w:val="24"/>
                <w:szCs w:val="24"/>
                <w:lang w:eastAsia="cs-CZ"/>
              </w:rPr>
              <w:t>0</w:t>
            </w:r>
          </w:p>
        </w:tc>
        <w:tc>
          <w:tcPr>
            <w:tcW w:w="1869" w:type="dxa"/>
            <w:noWrap/>
            <w:vAlign w:val="center"/>
            <w:hideMark/>
          </w:tcPr>
          <w:p w:rsidR="00D6513E" w:rsidRPr="00885590" w:rsidRDefault="00D6513E" w:rsidP="006C3B8C">
            <w:pPr>
              <w:spacing w:line="276" w:lineRule="auto"/>
              <w:jc w:val="center"/>
              <w:rPr>
                <w:color w:val="000000"/>
                <w:sz w:val="24"/>
                <w:szCs w:val="24"/>
              </w:rPr>
            </w:pPr>
            <w:r w:rsidRPr="00885590">
              <w:rPr>
                <w:color w:val="000000"/>
                <w:sz w:val="24"/>
                <w:szCs w:val="24"/>
              </w:rPr>
              <w:t>613,95</w:t>
            </w:r>
          </w:p>
        </w:tc>
        <w:tc>
          <w:tcPr>
            <w:tcW w:w="1740"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674,67</w:t>
            </w:r>
          </w:p>
        </w:tc>
        <w:tc>
          <w:tcPr>
            <w:tcW w:w="1695" w:type="dxa"/>
            <w:noWrap/>
            <w:vAlign w:val="center"/>
            <w:hideMark/>
          </w:tcPr>
          <w:p w:rsidR="00D6513E" w:rsidRPr="00885590" w:rsidRDefault="00D6513E" w:rsidP="006C3B8C">
            <w:pPr>
              <w:spacing w:line="276" w:lineRule="auto"/>
              <w:jc w:val="center"/>
              <w:rPr>
                <w:bCs/>
                <w:color w:val="000000"/>
                <w:sz w:val="24"/>
                <w:szCs w:val="24"/>
              </w:rPr>
            </w:pPr>
            <w:r w:rsidRPr="00885590">
              <w:rPr>
                <w:bCs/>
                <w:color w:val="000000"/>
                <w:sz w:val="24"/>
                <w:szCs w:val="24"/>
              </w:rPr>
              <w:t>1 288,61</w:t>
            </w:r>
          </w:p>
        </w:tc>
      </w:tr>
      <w:tr w:rsidR="00D6513E" w:rsidRPr="003E0EAF" w:rsidTr="00EA1E1F">
        <w:trPr>
          <w:cnfStyle w:val="010000000000"/>
          <w:trHeight w:val="300"/>
          <w:jc w:val="center"/>
        </w:trPr>
        <w:tc>
          <w:tcPr>
            <w:tcW w:w="2440" w:type="dxa"/>
            <w:noWrap/>
            <w:vAlign w:val="center"/>
            <w:hideMark/>
          </w:tcPr>
          <w:p w:rsidR="00D6513E" w:rsidRPr="003E0EAF" w:rsidRDefault="00D6513E" w:rsidP="006C3B8C">
            <w:pPr>
              <w:spacing w:line="276" w:lineRule="auto"/>
              <w:jc w:val="center"/>
              <w:rPr>
                <w:b w:val="0"/>
                <w:color w:val="000000"/>
                <w:szCs w:val="24"/>
                <w:lang w:eastAsia="cs-CZ"/>
              </w:rPr>
            </w:pPr>
          </w:p>
        </w:tc>
        <w:tc>
          <w:tcPr>
            <w:tcW w:w="1220" w:type="dxa"/>
            <w:noWrap/>
            <w:vAlign w:val="center"/>
            <w:hideMark/>
          </w:tcPr>
          <w:p w:rsidR="00D6513E" w:rsidRPr="003E0EAF" w:rsidRDefault="00D6513E" w:rsidP="006C3B8C">
            <w:pPr>
              <w:spacing w:line="276" w:lineRule="auto"/>
              <w:jc w:val="center"/>
              <w:rPr>
                <w:color w:val="000000"/>
                <w:szCs w:val="24"/>
                <w:lang w:eastAsia="cs-CZ"/>
              </w:rPr>
            </w:pPr>
          </w:p>
        </w:tc>
        <w:tc>
          <w:tcPr>
            <w:tcW w:w="1869" w:type="dxa"/>
            <w:noWrap/>
            <w:vAlign w:val="center"/>
            <w:hideMark/>
          </w:tcPr>
          <w:p w:rsidR="00D6513E" w:rsidRPr="00885590" w:rsidRDefault="00D6513E" w:rsidP="006C3B8C">
            <w:pPr>
              <w:spacing w:line="276" w:lineRule="auto"/>
              <w:jc w:val="center"/>
              <w:rPr>
                <w:color w:val="000000"/>
                <w:szCs w:val="24"/>
              </w:rPr>
            </w:pPr>
          </w:p>
        </w:tc>
        <w:tc>
          <w:tcPr>
            <w:tcW w:w="1740" w:type="dxa"/>
            <w:noWrap/>
            <w:vAlign w:val="center"/>
            <w:hideMark/>
          </w:tcPr>
          <w:p w:rsidR="00D6513E" w:rsidRPr="00885590" w:rsidRDefault="00D6513E" w:rsidP="006C3B8C">
            <w:pPr>
              <w:spacing w:line="276" w:lineRule="auto"/>
              <w:jc w:val="center"/>
              <w:rPr>
                <w:bCs w:val="0"/>
                <w:color w:val="000000"/>
                <w:szCs w:val="24"/>
              </w:rPr>
            </w:pPr>
          </w:p>
        </w:tc>
        <w:tc>
          <w:tcPr>
            <w:tcW w:w="1695" w:type="dxa"/>
            <w:noWrap/>
            <w:vAlign w:val="center"/>
            <w:hideMark/>
          </w:tcPr>
          <w:p w:rsidR="00D6513E" w:rsidRPr="00885590" w:rsidRDefault="00D6513E" w:rsidP="006C3B8C">
            <w:pPr>
              <w:spacing w:line="276" w:lineRule="auto"/>
              <w:jc w:val="center"/>
              <w:rPr>
                <w:bCs w:val="0"/>
                <w:color w:val="000000"/>
                <w:sz w:val="24"/>
                <w:szCs w:val="24"/>
              </w:rPr>
            </w:pPr>
            <w:r w:rsidRPr="00885590">
              <w:rPr>
                <w:bCs w:val="0"/>
                <w:color w:val="000000"/>
                <w:sz w:val="24"/>
                <w:szCs w:val="24"/>
              </w:rPr>
              <w:t>62 445,53</w:t>
            </w:r>
          </w:p>
        </w:tc>
      </w:tr>
    </w:tbl>
    <w:p w:rsidR="002A0F6F" w:rsidRDefault="006C3B8C" w:rsidP="002A0F6F">
      <w:pPr>
        <w:spacing w:before="240" w:line="276" w:lineRule="auto"/>
        <w:jc w:val="both"/>
        <w:rPr>
          <w:i/>
          <w:sz w:val="20"/>
        </w:rPr>
      </w:pPr>
      <w:r>
        <w:rPr>
          <w:i/>
          <w:sz w:val="20"/>
        </w:rPr>
        <w:t>Pramen: Vlastní zpracován</w:t>
      </w:r>
      <w:r w:rsidR="002A0F6F">
        <w:rPr>
          <w:i/>
          <w:sz w:val="20"/>
        </w:rPr>
        <w:t>í</w:t>
      </w:r>
      <w:r>
        <w:rPr>
          <w:i/>
          <w:sz w:val="20"/>
        </w:rPr>
        <w:t xml:space="preserve">. </w:t>
      </w:r>
    </w:p>
    <w:p w:rsidR="00D6513E" w:rsidRDefault="006C3B8C" w:rsidP="002A0F6F">
      <w:pPr>
        <w:spacing w:line="276" w:lineRule="auto"/>
        <w:jc w:val="both"/>
        <w:rPr>
          <w:i/>
          <w:sz w:val="20"/>
        </w:rPr>
      </w:pPr>
      <w:r>
        <w:rPr>
          <w:i/>
          <w:sz w:val="20"/>
        </w:rPr>
        <w:t>Hodnoty jsou uvedeny v dolarech.</w:t>
      </w:r>
      <w:r w:rsidR="002A0F6F">
        <w:rPr>
          <w:i/>
          <w:sz w:val="20"/>
        </w:rPr>
        <w:t xml:space="preserve"> Hodnota úvěru je uvedena vždy k poslednímu dni daného období.</w:t>
      </w:r>
    </w:p>
    <w:p w:rsidR="006C3B8C" w:rsidRDefault="006C3B8C" w:rsidP="00D6513E">
      <w:pPr>
        <w:spacing w:before="240" w:after="240" w:line="276" w:lineRule="auto"/>
        <w:jc w:val="both"/>
      </w:pPr>
    </w:p>
    <w:p w:rsidR="00D6513E" w:rsidRDefault="00D6513E" w:rsidP="00D6513E">
      <w:pPr>
        <w:spacing w:before="240" w:after="240" w:line="276" w:lineRule="auto"/>
        <w:jc w:val="both"/>
      </w:pPr>
      <w:r>
        <w:t xml:space="preserve">Stejně jako u úrokového swapu je referenční úroková sazba fixována k začátku daného období. V Tabulce </w:t>
      </w:r>
      <w:r w:rsidR="00AC56EA">
        <w:t>5</w:t>
      </w:r>
      <w:r>
        <w:t xml:space="preserve"> jsou uvedeny výše jednotlivých splátek úroku. Celkem na úrocích společnost </w:t>
      </w:r>
      <w:r w:rsidR="00361DA1">
        <w:t>Delor</w:t>
      </w:r>
      <w:r>
        <w:t xml:space="preserve"> zaplatí 62 445,53 </w:t>
      </w:r>
      <w:r w:rsidR="00447807">
        <w:t>USD</w:t>
      </w:r>
      <w:r>
        <w:t>.</w:t>
      </w:r>
    </w:p>
    <w:p w:rsidR="00D6513E" w:rsidRDefault="00D6513E" w:rsidP="00D6513E">
      <w:pPr>
        <w:spacing w:before="240" w:after="240" w:line="276" w:lineRule="auto"/>
        <w:jc w:val="both"/>
      </w:pPr>
      <w:r>
        <w:t xml:space="preserve">V průběhu </w:t>
      </w:r>
      <w:r w:rsidR="00AC56EA">
        <w:t>celkové doby trvání úvěru</w:t>
      </w:r>
      <w:r>
        <w:t xml:space="preserve"> </w:t>
      </w:r>
      <w:r w:rsidR="00AC56EA">
        <w:t xml:space="preserve">společnost v rámci úrokových plateb zaplatila </w:t>
      </w:r>
      <w:r w:rsidR="006C3B8C">
        <w:t>64 020 </w:t>
      </w:r>
      <w:r w:rsidR="00447807">
        <w:t>USD</w:t>
      </w:r>
      <w:r>
        <w:t xml:space="preserve"> svému swapovému partnerovi a 62 445,53 </w:t>
      </w:r>
      <w:r w:rsidR="00447807">
        <w:t>USD</w:t>
      </w:r>
      <w:r>
        <w:t xml:space="preserve"> na úrocích bance, u které sjedn</w:t>
      </w:r>
      <w:r w:rsidR="006C3B8C">
        <w:t>ala úvěr. Celkem tedy platila 126</w:t>
      </w:r>
      <w:r>
        <w:t> </w:t>
      </w:r>
      <w:r w:rsidR="006C3B8C">
        <w:t>46</w:t>
      </w:r>
      <w:r>
        <w:t xml:space="preserve">5,53 </w:t>
      </w:r>
      <w:r w:rsidR="00447807">
        <w:t>USD</w:t>
      </w:r>
      <w:r>
        <w:t xml:space="preserve">. Naopak od swapového partnera inkasovala 53 650,67 </w:t>
      </w:r>
      <w:r w:rsidR="00447807">
        <w:t>USD</w:t>
      </w:r>
      <w:r>
        <w:t xml:space="preserve">. </w:t>
      </w:r>
    </w:p>
    <w:p w:rsidR="00DA7840" w:rsidRDefault="00D6513E" w:rsidP="00D6513E">
      <w:pPr>
        <w:spacing w:before="240" w:after="240" w:line="276" w:lineRule="auto"/>
        <w:jc w:val="both"/>
      </w:pPr>
      <w:r>
        <w:t xml:space="preserve">Po odečtení přijatých plateb od celkově zaplacené sumy společnosti </w:t>
      </w:r>
      <w:r w:rsidR="00361DA1">
        <w:t>Delor</w:t>
      </w:r>
      <w:r>
        <w:t xml:space="preserve"> vychází, že reálně na úrocích zaplatila </w:t>
      </w:r>
      <w:r w:rsidR="006C3B8C">
        <w:t>72 814,87 </w:t>
      </w:r>
      <w:r w:rsidR="00447807">
        <w:t>USD</w:t>
      </w:r>
      <w:r>
        <w:t xml:space="preserve">. Pokud by ovšem nedošlo k zajištění prostřednictvím úrokového swapu, společnost by na úrocích zaplatila pouze 62 445,53 </w:t>
      </w:r>
      <w:r w:rsidR="00447807">
        <w:t>USD</w:t>
      </w:r>
      <w:r>
        <w:t>. Za daného vývoje ú</w:t>
      </w:r>
      <w:r w:rsidR="003368B2">
        <w:t>rokových sazeb společnost</w:t>
      </w:r>
      <w:r>
        <w:t xml:space="preserve"> prodělala. </w:t>
      </w:r>
      <w:r w:rsidR="00DA7840">
        <w:t>Úrokový swap</w:t>
      </w:r>
      <w:r w:rsidR="002A0F6F">
        <w:t xml:space="preserve"> byl sjednán za cílem zajištění, z</w:t>
      </w:r>
      <w:r w:rsidR="00DA7840">
        <w:t xml:space="preserve">trátu </w:t>
      </w:r>
      <w:r w:rsidR="002A0F6F">
        <w:t xml:space="preserve">tedy </w:t>
      </w:r>
      <w:r w:rsidR="00DA7840">
        <w:t>chápeme jako náklad zajištění.</w:t>
      </w:r>
    </w:p>
    <w:p w:rsidR="00D6513E" w:rsidRDefault="00AC56EA" w:rsidP="00D6513E">
      <w:pPr>
        <w:spacing w:before="240" w:after="240" w:line="276" w:lineRule="auto"/>
        <w:jc w:val="both"/>
      </w:pPr>
      <w:r>
        <w:t>Uvedený vývoj sazeb je</w:t>
      </w:r>
      <w:r w:rsidR="00D6513E">
        <w:t xml:space="preserve"> pouze simulovaný. Nelze s určitostí předpovědět vývoj úrokových sazeb na celých pět let dopředu. Pokud by došlo k výraznému nárůstu</w:t>
      </w:r>
      <w:r w:rsidR="003368B2">
        <w:t xml:space="preserve"> úrokových sazeb</w:t>
      </w:r>
      <w:r w:rsidR="00D6513E">
        <w:t xml:space="preserve">, společnost </w:t>
      </w:r>
      <w:r w:rsidR="00361DA1">
        <w:t>Delor</w:t>
      </w:r>
      <w:r w:rsidR="00D6513E">
        <w:t xml:space="preserve"> by díky zajištění prostřednictvím úrokového swapu </w:t>
      </w:r>
      <w:r>
        <w:t xml:space="preserve">své úrokové náklady </w:t>
      </w:r>
      <w:r w:rsidR="00D6513E">
        <w:t>výrazně snížila.</w:t>
      </w:r>
    </w:p>
    <w:p w:rsidR="003368B2" w:rsidRDefault="003368B2" w:rsidP="00D6513E">
      <w:pPr>
        <w:spacing w:before="240" w:after="240" w:line="276" w:lineRule="auto"/>
        <w:jc w:val="both"/>
      </w:pPr>
    </w:p>
    <w:p w:rsidR="00DC1E2D" w:rsidRDefault="00DC1E2D">
      <w:pPr>
        <w:suppressAutoHyphens w:val="0"/>
        <w:spacing w:after="200" w:line="276" w:lineRule="auto"/>
        <w:rPr>
          <w:rFonts w:eastAsiaTheme="majorEastAsia" w:cstheme="majorBidi"/>
          <w:b/>
          <w:bCs/>
          <w:sz w:val="28"/>
          <w:szCs w:val="26"/>
        </w:rPr>
      </w:pPr>
      <w:r>
        <w:br w:type="page"/>
      </w:r>
    </w:p>
    <w:p w:rsidR="00D6513E" w:rsidRDefault="00D6513E" w:rsidP="00C27CB0">
      <w:pPr>
        <w:pStyle w:val="Nadpis2"/>
      </w:pPr>
      <w:bookmarkStart w:id="86" w:name="_Toc354393075"/>
      <w:r>
        <w:lastRenderedPageBreak/>
        <w:t>Zajištění měnového rizika</w:t>
      </w:r>
      <w:bookmarkEnd w:id="86"/>
    </w:p>
    <w:p w:rsidR="00D6513E" w:rsidRDefault="00D6513E" w:rsidP="00D6513E">
      <w:pPr>
        <w:spacing w:before="240" w:after="240" w:line="276" w:lineRule="auto"/>
        <w:jc w:val="both"/>
      </w:pPr>
      <w:r>
        <w:t xml:space="preserve">Společnost </w:t>
      </w:r>
      <w:r w:rsidR="00361DA1">
        <w:t>Delor</w:t>
      </w:r>
      <w:r>
        <w:t xml:space="preserve"> inkasuje v</w:t>
      </w:r>
      <w:r w:rsidR="00AC56EA">
        <w:t> pravidelném půlročním</w:t>
      </w:r>
      <w:r>
        <w:t xml:space="preserve"> intervalu </w:t>
      </w:r>
      <w:r w:rsidR="003368B2">
        <w:t>od svého obchodního partnera z</w:t>
      </w:r>
      <w:r>
        <w:t> Německ</w:t>
      </w:r>
      <w:r w:rsidR="003368B2">
        <w:t>a</w:t>
      </w:r>
      <w:r>
        <w:t xml:space="preserve"> obnos v hodnotě 100 000 </w:t>
      </w:r>
      <w:r w:rsidR="00447807">
        <w:t>EUR</w:t>
      </w:r>
      <w:r>
        <w:t xml:space="preserve">. Touto sumou se společnost rozhodla hradit splátku úvěru, který bude splácet po dobu pěti let. Splácení úvěru probíhá pololetně, jedna splátka je rovna 132 000 </w:t>
      </w:r>
      <w:r w:rsidR="00447807">
        <w:t>USD</w:t>
      </w:r>
      <w:r>
        <w:t xml:space="preserve">. </w:t>
      </w:r>
    </w:p>
    <w:p w:rsidR="00D6513E" w:rsidRDefault="00AC56EA" w:rsidP="00D6513E">
      <w:pPr>
        <w:spacing w:before="240" w:after="240" w:line="276" w:lineRule="auto"/>
        <w:jc w:val="both"/>
      </w:pPr>
      <w:r>
        <w:t>Ke dni</w:t>
      </w:r>
      <w:r w:rsidR="00D6513E">
        <w:t xml:space="preserve"> 7. 2. 2013, kdy společnost řeší problém měnového rizika, je kurz eura vůči dolaru roven 0,7464 EUR/USD. Za 100 000 </w:t>
      </w:r>
      <w:r w:rsidR="00447807">
        <w:t>EUR</w:t>
      </w:r>
      <w:r w:rsidR="00D6513E">
        <w:t xml:space="preserve"> tedy </w:t>
      </w:r>
      <w:r w:rsidR="00361DA1">
        <w:t>Delor</w:t>
      </w:r>
      <w:r w:rsidR="00D6513E">
        <w:t xml:space="preserve"> inkasuje v přepočtu 133 976,42 </w:t>
      </w:r>
      <w:r w:rsidR="00447807">
        <w:t>USD</w:t>
      </w:r>
      <w:r w:rsidR="00D6513E">
        <w:t>. Pro</w:t>
      </w:r>
      <w:r w:rsidR="003368B2">
        <w:t> </w:t>
      </w:r>
      <w:r w:rsidR="00D6513E">
        <w:t>společnost je ri</w:t>
      </w:r>
      <w:r w:rsidR="003368B2">
        <w:t>zikem pohyb měnového kurzu,</w:t>
      </w:r>
      <w:r>
        <w:t xml:space="preserve"> konkrétně</w:t>
      </w:r>
      <w:r w:rsidR="00D6513E">
        <w:t xml:space="preserve"> vzestup</w:t>
      </w:r>
      <w:r>
        <w:t xml:space="preserve"> kurzu EUR/UDS</w:t>
      </w:r>
      <w:r w:rsidR="00D6513E">
        <w:t xml:space="preserve">. </w:t>
      </w:r>
      <w:r w:rsidR="003368B2">
        <w:t>Rizikem je tedy</w:t>
      </w:r>
      <w:r w:rsidR="00D6513E">
        <w:t xml:space="preserve"> situace, kdy dojde k oslabení eura, respektive posílení amerického dolaru. Pokud by k této situaci došlo, s</w:t>
      </w:r>
      <w:r w:rsidR="003368B2">
        <w:t xml:space="preserve">polečnost </w:t>
      </w:r>
      <w:r w:rsidR="00361DA1">
        <w:t>Delor</w:t>
      </w:r>
      <w:r w:rsidR="003368B2">
        <w:t xml:space="preserve"> by za 100 000 </w:t>
      </w:r>
      <w:r w:rsidR="00447807">
        <w:t>EUR</w:t>
      </w:r>
      <w:r w:rsidR="00D6513E">
        <w:t xml:space="preserve"> obdržela menší obnos denominovaný v dolarech a nebyla by schopna pokrýt daným příjmem výši splátky úvěru.</w:t>
      </w:r>
    </w:p>
    <w:p w:rsidR="00D6513E" w:rsidRDefault="00D6513E" w:rsidP="00D6513E">
      <w:pPr>
        <w:spacing w:before="240" w:after="240" w:line="276" w:lineRule="auto"/>
        <w:jc w:val="both"/>
      </w:pPr>
      <w:r>
        <w:t xml:space="preserve">Zároveň společnost </w:t>
      </w:r>
      <w:r w:rsidR="00361DA1">
        <w:t>Delor</w:t>
      </w:r>
      <w:r>
        <w:t xml:space="preserve"> čelí riziku pohybu kurzu CZK/USD. Mimo pevné části splátky totiž platí </w:t>
      </w:r>
      <w:r w:rsidR="003368B2">
        <w:t xml:space="preserve">také </w:t>
      </w:r>
      <w:r>
        <w:t>variabilní úroky, které</w:t>
      </w:r>
      <w:r w:rsidR="003368B2">
        <w:t xml:space="preserve"> směna eur nepokryje. Musí je</w:t>
      </w:r>
      <w:r>
        <w:t xml:space="preserve"> tedy zaplatit převodem českých korun na dolary. I v tomto případě </w:t>
      </w:r>
      <w:r w:rsidR="00AC56EA">
        <w:t>by došlo</w:t>
      </w:r>
      <w:r>
        <w:t xml:space="preserve"> ke ztrátě společnosti </w:t>
      </w:r>
      <w:r w:rsidR="00AC56EA">
        <w:t xml:space="preserve">případným </w:t>
      </w:r>
      <w:r>
        <w:t>posílení</w:t>
      </w:r>
      <w:r w:rsidR="00AC56EA">
        <w:t>m</w:t>
      </w:r>
      <w:r>
        <w:t xml:space="preserve"> amerického dolaru, tedy růstem měnového kurzu CZK/USD. </w:t>
      </w:r>
    </w:p>
    <w:p w:rsidR="00AC56EA" w:rsidRDefault="00D6513E" w:rsidP="00D6513E">
      <w:pPr>
        <w:spacing w:before="240" w:after="240" w:line="276" w:lineRule="auto"/>
        <w:jc w:val="both"/>
      </w:pPr>
      <w:r>
        <w:t xml:space="preserve">S ohledem na podstupované měnové riziko se společnost </w:t>
      </w:r>
      <w:r w:rsidR="00361DA1">
        <w:t>Delor</w:t>
      </w:r>
      <w:r>
        <w:t xml:space="preserve"> rozhodne zajistit</w:t>
      </w:r>
      <w:r w:rsidR="00133242">
        <w:t xml:space="preserve"> se</w:t>
      </w:r>
      <w:r>
        <w:t xml:space="preserve"> pomocí finančních derivátů. Zajištění bude sjednávat po </w:t>
      </w:r>
      <w:r w:rsidR="00AC56EA">
        <w:t>celou dobu předpokládaného splácení přijatého úvěru, tedy po dobu pěti let.</w:t>
      </w:r>
    </w:p>
    <w:p w:rsidR="00D6513E" w:rsidRDefault="00D6513E" w:rsidP="00D6513E">
      <w:pPr>
        <w:spacing w:before="240" w:after="240" w:line="276" w:lineRule="auto"/>
        <w:jc w:val="both"/>
      </w:pPr>
      <w:r>
        <w:t>Jednotlivé možnosti a způsob zajištění jsou objasněny v následujících kapitolách. Způsob zajištění bude demonstrován pouze na měnovém páru EUR/USD. Princip zajištění měnového páru CZK/USD je obdobný.</w:t>
      </w:r>
    </w:p>
    <w:p w:rsidR="00D6513E" w:rsidRDefault="0049623D" w:rsidP="00D6513E">
      <w:pPr>
        <w:spacing w:before="240" w:after="240" w:line="276" w:lineRule="auto"/>
        <w:jc w:val="both"/>
      </w:pPr>
      <w:r>
        <w:t>V Tabulce 6</w:t>
      </w:r>
      <w:r w:rsidR="00D6513E">
        <w:t xml:space="preserve"> jsou uvedeny hodnoty proměnných, které </w:t>
      </w:r>
      <w:r w:rsidR="00AC56EA">
        <w:t>je potřeba znát</w:t>
      </w:r>
      <w:r w:rsidR="00D6513E">
        <w:t xml:space="preserve"> pro následující výpočty.</w:t>
      </w:r>
      <w:r w:rsidR="002A0F6F">
        <w:t xml:space="preserve"> Pro zjednodušení výpočtu platí předpoklad, že se uvedené úrokové míry v průběhu zajištění nemění.</w:t>
      </w:r>
    </w:p>
    <w:p w:rsidR="003368B2" w:rsidRDefault="003368B2" w:rsidP="00D6513E">
      <w:pPr>
        <w:spacing w:before="240" w:after="240" w:line="276" w:lineRule="auto"/>
        <w:jc w:val="both"/>
      </w:pPr>
    </w:p>
    <w:p w:rsidR="003368B2" w:rsidRPr="003368B2" w:rsidRDefault="003368B2" w:rsidP="003368B2">
      <w:pPr>
        <w:pStyle w:val="Titulek"/>
        <w:keepNext/>
        <w:spacing w:line="276" w:lineRule="auto"/>
        <w:jc w:val="both"/>
        <w:rPr>
          <w:rFonts w:ascii="Times New Roman" w:hAnsi="Times New Roman" w:cs="Times New Roman"/>
          <w:b w:val="0"/>
          <w:color w:val="auto"/>
          <w:sz w:val="24"/>
        </w:rPr>
      </w:pPr>
      <w:bookmarkStart w:id="87" w:name="_Toc354393029"/>
      <w:r w:rsidRPr="003368B2">
        <w:rPr>
          <w:rFonts w:ascii="Times New Roman" w:hAnsi="Times New Roman" w:cs="Times New Roman"/>
          <w:b w:val="0"/>
          <w:color w:val="auto"/>
          <w:sz w:val="24"/>
        </w:rPr>
        <w:t xml:space="preserve">Tabulka </w:t>
      </w:r>
      <w:r w:rsidR="00FA567C" w:rsidRPr="003368B2">
        <w:rPr>
          <w:rFonts w:ascii="Times New Roman" w:hAnsi="Times New Roman" w:cs="Times New Roman"/>
          <w:b w:val="0"/>
          <w:color w:val="auto"/>
          <w:sz w:val="24"/>
        </w:rPr>
        <w:fldChar w:fldCharType="begin"/>
      </w:r>
      <w:r w:rsidRPr="003368B2">
        <w:rPr>
          <w:rFonts w:ascii="Times New Roman" w:hAnsi="Times New Roman" w:cs="Times New Roman"/>
          <w:b w:val="0"/>
          <w:color w:val="auto"/>
          <w:sz w:val="24"/>
        </w:rPr>
        <w:instrText xml:space="preserve"> SEQ Tabulka \* ARABIC </w:instrText>
      </w:r>
      <w:r w:rsidR="00FA567C" w:rsidRPr="003368B2">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6</w:t>
      </w:r>
      <w:r w:rsidR="00FA567C" w:rsidRPr="003368B2">
        <w:rPr>
          <w:rFonts w:ascii="Times New Roman" w:hAnsi="Times New Roman" w:cs="Times New Roman"/>
          <w:b w:val="0"/>
          <w:color w:val="auto"/>
          <w:sz w:val="24"/>
        </w:rPr>
        <w:fldChar w:fldCharType="end"/>
      </w:r>
      <w:r w:rsidRPr="003368B2">
        <w:rPr>
          <w:rFonts w:ascii="Times New Roman" w:hAnsi="Times New Roman" w:cs="Times New Roman"/>
          <w:b w:val="0"/>
          <w:color w:val="auto"/>
          <w:sz w:val="24"/>
        </w:rPr>
        <w:t>: Hodnoty proměnných</w:t>
      </w:r>
      <w:bookmarkEnd w:id="87"/>
    </w:p>
    <w:tbl>
      <w:tblPr>
        <w:tblStyle w:val="Svtlstnovn1"/>
        <w:tblW w:w="7684" w:type="dxa"/>
        <w:jc w:val="center"/>
        <w:tblLook w:val="0480"/>
      </w:tblPr>
      <w:tblGrid>
        <w:gridCol w:w="5655"/>
        <w:gridCol w:w="2029"/>
      </w:tblGrid>
      <w:tr w:rsidR="00D6513E" w:rsidTr="001433CF">
        <w:trPr>
          <w:cnfStyle w:val="000000100000"/>
          <w:jc w:val="center"/>
        </w:trPr>
        <w:tc>
          <w:tcPr>
            <w:cnfStyle w:val="001000000000"/>
            <w:tcW w:w="5655" w:type="dxa"/>
            <w:shd w:val="clear" w:color="auto" w:fill="D9D9D9" w:themeFill="background1" w:themeFillShade="D9"/>
            <w:vAlign w:val="center"/>
          </w:tcPr>
          <w:p w:rsidR="00D6513E" w:rsidRPr="00BB3388" w:rsidRDefault="00D6513E" w:rsidP="003368B2">
            <w:pPr>
              <w:spacing w:line="276" w:lineRule="auto"/>
              <w:rPr>
                <w:b w:val="0"/>
                <w:color w:val="auto"/>
                <w:sz w:val="24"/>
              </w:rPr>
            </w:pPr>
            <w:r w:rsidRPr="00BB3388">
              <w:rPr>
                <w:b w:val="0"/>
                <w:color w:val="auto"/>
                <w:sz w:val="24"/>
              </w:rPr>
              <w:t xml:space="preserve">Spotový měnový kurz EUR/USD </w:t>
            </w:r>
            <w:r>
              <w:rPr>
                <w:b w:val="0"/>
                <w:color w:val="auto"/>
                <w:sz w:val="24"/>
              </w:rPr>
              <w:t xml:space="preserve">ke dni 7. 2. 2013 </w:t>
            </w:r>
            <w:r w:rsidRPr="00BB3388">
              <w:rPr>
                <w:b w:val="0"/>
                <w:color w:val="auto"/>
                <w:sz w:val="24"/>
              </w:rPr>
              <w:t>(S</w:t>
            </w:r>
            <w:r w:rsidRPr="00BB3388">
              <w:rPr>
                <w:b w:val="0"/>
                <w:color w:val="auto"/>
                <w:sz w:val="24"/>
                <w:vertAlign w:val="subscript"/>
              </w:rPr>
              <w:t>n</w:t>
            </w:r>
            <w:r w:rsidRPr="00BB3388">
              <w:rPr>
                <w:b w:val="0"/>
                <w:color w:val="auto"/>
                <w:sz w:val="24"/>
              </w:rPr>
              <w:t>)</w:t>
            </w:r>
          </w:p>
        </w:tc>
        <w:tc>
          <w:tcPr>
            <w:tcW w:w="2029" w:type="dxa"/>
            <w:shd w:val="clear" w:color="auto" w:fill="D9D9D9" w:themeFill="background1" w:themeFillShade="D9"/>
            <w:vAlign w:val="center"/>
          </w:tcPr>
          <w:p w:rsidR="00D6513E" w:rsidRPr="00BB3388" w:rsidRDefault="00D6513E" w:rsidP="003368B2">
            <w:pPr>
              <w:spacing w:line="276" w:lineRule="auto"/>
              <w:cnfStyle w:val="000000100000"/>
              <w:rPr>
                <w:color w:val="auto"/>
                <w:sz w:val="24"/>
              </w:rPr>
            </w:pPr>
            <w:r w:rsidRPr="00BB3388">
              <w:rPr>
                <w:color w:val="auto"/>
                <w:sz w:val="24"/>
              </w:rPr>
              <w:t>0,7464</w:t>
            </w:r>
            <w:r w:rsidR="003368B2">
              <w:rPr>
                <w:color w:val="auto"/>
                <w:sz w:val="24"/>
              </w:rPr>
              <w:t xml:space="preserve"> EUR/USD</w:t>
            </w:r>
          </w:p>
        </w:tc>
      </w:tr>
      <w:tr w:rsidR="00D6513E" w:rsidTr="003368B2">
        <w:trPr>
          <w:jc w:val="center"/>
        </w:trPr>
        <w:tc>
          <w:tcPr>
            <w:cnfStyle w:val="001000000000"/>
            <w:tcW w:w="5655" w:type="dxa"/>
            <w:vAlign w:val="center"/>
          </w:tcPr>
          <w:p w:rsidR="00D6513E" w:rsidRPr="00BB3388" w:rsidRDefault="00D6513E" w:rsidP="003368B2">
            <w:pPr>
              <w:spacing w:line="276" w:lineRule="auto"/>
              <w:rPr>
                <w:b w:val="0"/>
                <w:color w:val="auto"/>
                <w:sz w:val="24"/>
              </w:rPr>
            </w:pPr>
            <w:r>
              <w:rPr>
                <w:b w:val="0"/>
                <w:color w:val="auto"/>
                <w:sz w:val="24"/>
              </w:rPr>
              <w:t>Úroková míra domácí měny na nákup (</w:t>
            </w:r>
            <m:oMath>
              <m:sSubSup>
                <m:sSubSupPr>
                  <m:ctrlPr>
                    <w:rPr>
                      <w:rFonts w:ascii="Cambria Math" w:hAnsi="Cambria Math"/>
                      <w:b w:val="0"/>
                      <w:i/>
                      <w:color w:val="auto"/>
                      <w:sz w:val="24"/>
                    </w:rPr>
                  </m:ctrlPr>
                </m:sSubSupPr>
                <m:e>
                  <m:r>
                    <m:rPr>
                      <m:sty m:val="bi"/>
                    </m:rPr>
                    <w:rPr>
                      <w:rFonts w:ascii="Cambria Math" w:hAnsi="Cambria Math"/>
                      <w:color w:val="auto"/>
                      <w:sz w:val="24"/>
                    </w:rPr>
                    <m:t>i</m:t>
                  </m:r>
                </m:e>
                <m:sub>
                  <m:r>
                    <m:rPr>
                      <m:sty m:val="bi"/>
                    </m:rPr>
                    <w:rPr>
                      <w:rFonts w:ascii="Cambria Math" w:hAnsi="Cambria Math"/>
                      <w:color w:val="auto"/>
                      <w:sz w:val="24"/>
                    </w:rPr>
                    <m:t>DM</m:t>
                  </m:r>
                </m:sub>
                <m:sup>
                  <m:r>
                    <m:rPr>
                      <m:sty m:val="bi"/>
                    </m:rPr>
                    <w:rPr>
                      <w:rFonts w:ascii="Cambria Math" w:hAnsi="Cambria Math"/>
                      <w:color w:val="auto"/>
                      <w:sz w:val="24"/>
                    </w:rPr>
                    <m:t>N</m:t>
                  </m:r>
                </m:sup>
              </m:sSubSup>
            </m:oMath>
            <w:r w:rsidRPr="002A1C97">
              <w:rPr>
                <w:rFonts w:eastAsiaTheme="minorEastAsia"/>
                <w:b w:val="0"/>
                <w:color w:val="auto"/>
                <w:sz w:val="24"/>
              </w:rPr>
              <w:t>)</w:t>
            </w:r>
          </w:p>
        </w:tc>
        <w:tc>
          <w:tcPr>
            <w:tcW w:w="2029" w:type="dxa"/>
            <w:vAlign w:val="center"/>
          </w:tcPr>
          <w:p w:rsidR="00D6513E" w:rsidRPr="00BB3388" w:rsidRDefault="00D6513E" w:rsidP="003368B2">
            <w:pPr>
              <w:spacing w:line="276" w:lineRule="auto"/>
              <w:cnfStyle w:val="000000000000"/>
              <w:rPr>
                <w:color w:val="auto"/>
                <w:sz w:val="24"/>
              </w:rPr>
            </w:pPr>
            <w:r>
              <w:rPr>
                <w:color w:val="auto"/>
                <w:sz w:val="24"/>
              </w:rPr>
              <w:t>1,7 %</w:t>
            </w:r>
          </w:p>
        </w:tc>
      </w:tr>
      <w:tr w:rsidR="00D6513E" w:rsidTr="001433CF">
        <w:trPr>
          <w:cnfStyle w:val="000000100000"/>
          <w:jc w:val="center"/>
        </w:trPr>
        <w:tc>
          <w:tcPr>
            <w:cnfStyle w:val="001000000000"/>
            <w:tcW w:w="5655" w:type="dxa"/>
            <w:shd w:val="clear" w:color="auto" w:fill="D9D9D9" w:themeFill="background1" w:themeFillShade="D9"/>
            <w:vAlign w:val="center"/>
          </w:tcPr>
          <w:p w:rsidR="00D6513E" w:rsidRPr="002A1C97" w:rsidRDefault="00D6513E" w:rsidP="003368B2">
            <w:pPr>
              <w:spacing w:line="276" w:lineRule="auto"/>
              <w:rPr>
                <w:b w:val="0"/>
                <w:color w:val="auto"/>
                <w:sz w:val="24"/>
              </w:rPr>
            </w:pPr>
            <w:r w:rsidRPr="002A1C97">
              <w:rPr>
                <w:b w:val="0"/>
                <w:color w:val="auto"/>
                <w:sz w:val="24"/>
              </w:rPr>
              <w:t>Úroková míra domácí měny na prodej (</w:t>
            </w:r>
            <m:oMath>
              <m:sSubSup>
                <m:sSubSupPr>
                  <m:ctrlPr>
                    <w:rPr>
                      <w:rFonts w:ascii="Cambria Math" w:hAnsi="Cambria Math"/>
                      <w:b w:val="0"/>
                      <w:i/>
                      <w:color w:val="auto"/>
                      <w:sz w:val="24"/>
                    </w:rPr>
                  </m:ctrlPr>
                </m:sSubSupPr>
                <m:e>
                  <m:r>
                    <m:rPr>
                      <m:sty m:val="bi"/>
                    </m:rPr>
                    <w:rPr>
                      <w:rFonts w:ascii="Cambria Math" w:hAnsi="Cambria Math"/>
                      <w:color w:val="auto"/>
                      <w:sz w:val="24"/>
                    </w:rPr>
                    <m:t>i</m:t>
                  </m:r>
                </m:e>
                <m:sub>
                  <m:r>
                    <m:rPr>
                      <m:sty m:val="bi"/>
                    </m:rPr>
                    <w:rPr>
                      <w:rFonts w:ascii="Cambria Math" w:hAnsi="Cambria Math"/>
                      <w:color w:val="auto"/>
                      <w:sz w:val="24"/>
                    </w:rPr>
                    <m:t>DM</m:t>
                  </m:r>
                </m:sub>
                <m:sup>
                  <m:r>
                    <m:rPr>
                      <m:sty m:val="bi"/>
                    </m:rPr>
                    <w:rPr>
                      <w:rFonts w:ascii="Cambria Math" w:hAnsi="Cambria Math"/>
                      <w:color w:val="auto"/>
                      <w:sz w:val="24"/>
                    </w:rPr>
                    <m:t>P</m:t>
                  </m:r>
                </m:sup>
              </m:sSubSup>
            </m:oMath>
            <w:r w:rsidRPr="002A1C97">
              <w:rPr>
                <w:rFonts w:eastAsiaTheme="minorEastAsia"/>
                <w:b w:val="0"/>
                <w:color w:val="auto"/>
                <w:sz w:val="24"/>
              </w:rPr>
              <w:t>)</w:t>
            </w:r>
          </w:p>
        </w:tc>
        <w:tc>
          <w:tcPr>
            <w:tcW w:w="2029" w:type="dxa"/>
            <w:shd w:val="clear" w:color="auto" w:fill="D9D9D9" w:themeFill="background1" w:themeFillShade="D9"/>
            <w:vAlign w:val="center"/>
          </w:tcPr>
          <w:p w:rsidR="00D6513E" w:rsidRPr="00BB3388" w:rsidRDefault="00D6513E" w:rsidP="003368B2">
            <w:pPr>
              <w:spacing w:line="276" w:lineRule="auto"/>
              <w:cnfStyle w:val="000000100000"/>
              <w:rPr>
                <w:color w:val="auto"/>
                <w:sz w:val="24"/>
              </w:rPr>
            </w:pPr>
            <w:r w:rsidRPr="00BB3388">
              <w:rPr>
                <w:color w:val="auto"/>
                <w:sz w:val="24"/>
              </w:rPr>
              <w:t>4,2 %</w:t>
            </w:r>
          </w:p>
        </w:tc>
      </w:tr>
      <w:tr w:rsidR="00D6513E" w:rsidTr="003368B2">
        <w:trPr>
          <w:trHeight w:val="80"/>
          <w:jc w:val="center"/>
        </w:trPr>
        <w:tc>
          <w:tcPr>
            <w:cnfStyle w:val="001000000000"/>
            <w:tcW w:w="5655" w:type="dxa"/>
            <w:vAlign w:val="center"/>
          </w:tcPr>
          <w:p w:rsidR="00D6513E" w:rsidRPr="002A1C97" w:rsidRDefault="00D6513E" w:rsidP="003368B2">
            <w:pPr>
              <w:spacing w:line="276" w:lineRule="auto"/>
              <w:rPr>
                <w:b w:val="0"/>
                <w:color w:val="auto"/>
                <w:sz w:val="24"/>
              </w:rPr>
            </w:pPr>
            <w:r w:rsidRPr="002A1C97">
              <w:rPr>
                <w:b w:val="0"/>
                <w:color w:val="auto"/>
                <w:sz w:val="24"/>
              </w:rPr>
              <w:t>Úroková míra cizí měny na nákup (</w:t>
            </w:r>
            <m:oMath>
              <m:sSubSup>
                <m:sSubSupPr>
                  <m:ctrlPr>
                    <w:rPr>
                      <w:rFonts w:ascii="Cambria Math" w:hAnsi="Cambria Math"/>
                      <w:b w:val="0"/>
                      <w:i/>
                      <w:color w:val="auto"/>
                      <w:sz w:val="24"/>
                    </w:rPr>
                  </m:ctrlPr>
                </m:sSubSupPr>
                <m:e>
                  <m:r>
                    <m:rPr>
                      <m:sty m:val="bi"/>
                    </m:rPr>
                    <w:rPr>
                      <w:rFonts w:ascii="Cambria Math" w:hAnsi="Cambria Math"/>
                      <w:color w:val="auto"/>
                      <w:sz w:val="24"/>
                    </w:rPr>
                    <m:t>i</m:t>
                  </m:r>
                </m:e>
                <m:sub>
                  <m:r>
                    <m:rPr>
                      <m:sty m:val="bi"/>
                    </m:rPr>
                    <w:rPr>
                      <w:rFonts w:ascii="Cambria Math" w:hAnsi="Cambria Math"/>
                      <w:color w:val="auto"/>
                      <w:sz w:val="24"/>
                    </w:rPr>
                    <m:t>CM</m:t>
                  </m:r>
                </m:sub>
                <m:sup>
                  <m:r>
                    <m:rPr>
                      <m:sty m:val="bi"/>
                    </m:rPr>
                    <w:rPr>
                      <w:rFonts w:ascii="Cambria Math" w:hAnsi="Cambria Math"/>
                      <w:color w:val="auto"/>
                      <w:sz w:val="24"/>
                    </w:rPr>
                    <m:t>N</m:t>
                  </m:r>
                </m:sup>
              </m:sSubSup>
            </m:oMath>
            <w:r w:rsidRPr="002A1C97">
              <w:rPr>
                <w:rFonts w:eastAsiaTheme="minorEastAsia"/>
                <w:b w:val="0"/>
                <w:color w:val="auto"/>
                <w:sz w:val="24"/>
              </w:rPr>
              <w:t>)</w:t>
            </w:r>
          </w:p>
        </w:tc>
        <w:tc>
          <w:tcPr>
            <w:tcW w:w="2029" w:type="dxa"/>
            <w:vAlign w:val="center"/>
          </w:tcPr>
          <w:p w:rsidR="00D6513E" w:rsidRPr="00BB3388" w:rsidRDefault="00D6513E" w:rsidP="003368B2">
            <w:pPr>
              <w:spacing w:line="276" w:lineRule="auto"/>
              <w:cnfStyle w:val="000000000000"/>
              <w:rPr>
                <w:color w:val="auto"/>
                <w:sz w:val="24"/>
              </w:rPr>
            </w:pPr>
            <w:r w:rsidRPr="00BB3388">
              <w:rPr>
                <w:color w:val="auto"/>
                <w:sz w:val="24"/>
              </w:rPr>
              <w:t>2,1 %</w:t>
            </w:r>
          </w:p>
        </w:tc>
      </w:tr>
      <w:tr w:rsidR="00D6513E" w:rsidTr="001433CF">
        <w:trPr>
          <w:cnfStyle w:val="000000100000"/>
          <w:jc w:val="center"/>
        </w:trPr>
        <w:tc>
          <w:tcPr>
            <w:cnfStyle w:val="001000000000"/>
            <w:tcW w:w="5655" w:type="dxa"/>
            <w:shd w:val="clear" w:color="auto" w:fill="D9D9D9" w:themeFill="background1" w:themeFillShade="D9"/>
            <w:vAlign w:val="center"/>
          </w:tcPr>
          <w:p w:rsidR="00D6513E" w:rsidRPr="002A1C97" w:rsidRDefault="00D6513E" w:rsidP="003368B2">
            <w:pPr>
              <w:spacing w:line="276" w:lineRule="auto"/>
              <w:rPr>
                <w:b w:val="0"/>
                <w:color w:val="auto"/>
                <w:sz w:val="24"/>
              </w:rPr>
            </w:pPr>
            <w:r w:rsidRPr="002A1C97">
              <w:rPr>
                <w:b w:val="0"/>
                <w:color w:val="auto"/>
                <w:sz w:val="24"/>
              </w:rPr>
              <w:t>Úroková míra cizí měny na prodej (</w:t>
            </w:r>
            <m:oMath>
              <m:sSubSup>
                <m:sSubSupPr>
                  <m:ctrlPr>
                    <w:rPr>
                      <w:rFonts w:ascii="Cambria Math" w:hAnsi="Cambria Math"/>
                      <w:b w:val="0"/>
                      <w:i/>
                      <w:color w:val="auto"/>
                      <w:sz w:val="24"/>
                    </w:rPr>
                  </m:ctrlPr>
                </m:sSubSupPr>
                <m:e>
                  <m:r>
                    <m:rPr>
                      <m:sty m:val="bi"/>
                    </m:rPr>
                    <w:rPr>
                      <w:rFonts w:ascii="Cambria Math" w:hAnsi="Cambria Math"/>
                      <w:color w:val="auto"/>
                      <w:sz w:val="24"/>
                    </w:rPr>
                    <m:t>i</m:t>
                  </m:r>
                </m:e>
                <m:sub>
                  <m:r>
                    <m:rPr>
                      <m:sty m:val="bi"/>
                    </m:rPr>
                    <w:rPr>
                      <w:rFonts w:ascii="Cambria Math" w:hAnsi="Cambria Math"/>
                      <w:color w:val="auto"/>
                      <w:sz w:val="24"/>
                    </w:rPr>
                    <m:t>CM</m:t>
                  </m:r>
                </m:sub>
                <m:sup>
                  <m:r>
                    <m:rPr>
                      <m:sty m:val="bi"/>
                    </m:rPr>
                    <w:rPr>
                      <w:rFonts w:ascii="Cambria Math"/>
                      <w:color w:val="auto"/>
                      <w:sz w:val="24"/>
                    </w:rPr>
                    <m:t>P</m:t>
                  </m:r>
                </m:sup>
              </m:sSubSup>
            </m:oMath>
            <w:r w:rsidRPr="002A1C97">
              <w:rPr>
                <w:rFonts w:eastAsiaTheme="minorEastAsia"/>
                <w:b w:val="0"/>
                <w:color w:val="auto"/>
                <w:sz w:val="24"/>
              </w:rPr>
              <w:t>)</w:t>
            </w:r>
          </w:p>
        </w:tc>
        <w:tc>
          <w:tcPr>
            <w:tcW w:w="2029" w:type="dxa"/>
            <w:shd w:val="clear" w:color="auto" w:fill="D9D9D9" w:themeFill="background1" w:themeFillShade="D9"/>
            <w:vAlign w:val="center"/>
          </w:tcPr>
          <w:p w:rsidR="00D6513E" w:rsidRPr="00BB3388" w:rsidRDefault="00D6513E" w:rsidP="003368B2">
            <w:pPr>
              <w:spacing w:line="276" w:lineRule="auto"/>
              <w:cnfStyle w:val="000000100000"/>
              <w:rPr>
                <w:color w:val="auto"/>
                <w:sz w:val="24"/>
              </w:rPr>
            </w:pPr>
            <w:r>
              <w:rPr>
                <w:color w:val="auto"/>
                <w:sz w:val="24"/>
              </w:rPr>
              <w:t>4 %</w:t>
            </w:r>
          </w:p>
        </w:tc>
      </w:tr>
    </w:tbl>
    <w:p w:rsidR="003368B2" w:rsidRDefault="003368B2" w:rsidP="003368B2">
      <w:pPr>
        <w:spacing w:before="240" w:after="240" w:line="276" w:lineRule="auto"/>
        <w:jc w:val="both"/>
        <w:rPr>
          <w:i/>
          <w:sz w:val="20"/>
        </w:rPr>
      </w:pPr>
      <w:r>
        <w:rPr>
          <w:i/>
          <w:sz w:val="20"/>
        </w:rPr>
        <w:t>Pramen: Vlastní zpracování.</w:t>
      </w:r>
    </w:p>
    <w:p w:rsidR="002A0F6F" w:rsidRPr="002A0F6F" w:rsidRDefault="002A0F6F" w:rsidP="003368B2">
      <w:pPr>
        <w:spacing w:before="240" w:after="240" w:line="276" w:lineRule="auto"/>
        <w:jc w:val="both"/>
        <w:rPr>
          <w:color w:val="FF0000"/>
        </w:rPr>
      </w:pPr>
    </w:p>
    <w:p w:rsidR="00D6513E" w:rsidRDefault="00BB09D2" w:rsidP="00D6513E">
      <w:pPr>
        <w:pStyle w:val="Nadpis3"/>
        <w:suppressAutoHyphens w:val="0"/>
      </w:pPr>
      <w:bookmarkStart w:id="88" w:name="_Toc354393076"/>
      <w:r>
        <w:lastRenderedPageBreak/>
        <w:t>Zajištění pomocí měnových</w:t>
      </w:r>
      <w:r w:rsidR="00D6513E">
        <w:t xml:space="preserve"> forward</w:t>
      </w:r>
      <w:r>
        <w:t>ů</w:t>
      </w:r>
      <w:bookmarkEnd w:id="88"/>
    </w:p>
    <w:p w:rsidR="00D6513E" w:rsidRDefault="00D6513E" w:rsidP="00D6513E">
      <w:pPr>
        <w:spacing w:before="240" w:after="240" w:line="276" w:lineRule="auto"/>
        <w:jc w:val="both"/>
      </w:pPr>
      <w:r>
        <w:t xml:space="preserve">Forwardy jsou individualizované kontrakty, a proto je lze sjednat „na míru“, podle </w:t>
      </w:r>
      <w:r w:rsidR="0049623D">
        <w:t xml:space="preserve">parametrů </w:t>
      </w:r>
      <w:r>
        <w:t xml:space="preserve">zajišťovaného rizika. Společnost </w:t>
      </w:r>
      <w:r w:rsidR="00361DA1">
        <w:t>Delor</w:t>
      </w:r>
      <w:r>
        <w:t xml:space="preserve"> může tento kontrakt uzavřít praktick</w:t>
      </w:r>
      <w:r w:rsidR="0049623D">
        <w:t>y s kýmkoli. Nejpravděpodobněji ovšem</w:t>
      </w:r>
      <w:r>
        <w:t xml:space="preserve"> </w:t>
      </w:r>
      <w:r w:rsidR="0049623D">
        <w:t xml:space="preserve">bude </w:t>
      </w:r>
      <w:r>
        <w:t>forwardovým partnerem banka.</w:t>
      </w:r>
    </w:p>
    <w:p w:rsidR="00D6513E" w:rsidRDefault="00361DA1" w:rsidP="00D6513E">
      <w:pPr>
        <w:spacing w:before="240" w:after="240" w:line="276" w:lineRule="auto"/>
        <w:jc w:val="both"/>
      </w:pPr>
      <w:r>
        <w:t>Delor</w:t>
      </w:r>
      <w:r w:rsidR="0049623D">
        <w:t xml:space="preserve"> s bankou sjedná ke dni 7. 2. </w:t>
      </w:r>
      <w:r w:rsidR="00D6513E">
        <w:t xml:space="preserve">2013 celkem 10 forwardových kontraktů. Konkrétně bude sjednávat forwardový kontrakt na prodej 100 000 </w:t>
      </w:r>
      <w:r w:rsidR="00447807">
        <w:t>EUR</w:t>
      </w:r>
      <w:r w:rsidR="00D6513E">
        <w:t xml:space="preserve">. První kontrakt bude </w:t>
      </w:r>
      <w:r w:rsidR="0049623D">
        <w:t>splatný za</w:t>
      </w:r>
      <w:r w:rsidR="00D6513E">
        <w:t xml:space="preserve"> půl roku, jeho dnem vypořádání bude 7. 8. 2013. Druhý kontrakt je sjednán na dobu jednoho roku se splatností 7. 2. 2014. Splatnost dalších forwardů je obdobně odstupňována po</w:t>
      </w:r>
      <w:r w:rsidR="0049623D">
        <w:t> </w:t>
      </w:r>
      <w:r w:rsidR="00D6513E">
        <w:t xml:space="preserve">půl roce. </w:t>
      </w:r>
    </w:p>
    <w:p w:rsidR="00D6513E" w:rsidRDefault="00D6513E" w:rsidP="00D6513E">
      <w:pPr>
        <w:spacing w:before="240" w:after="240" w:line="276" w:lineRule="auto"/>
        <w:jc w:val="both"/>
      </w:pPr>
      <w:r>
        <w:t xml:space="preserve">Forwardové kurzy </w:t>
      </w:r>
      <w:r w:rsidR="00AC56EA">
        <w:t>lze vypočítat</w:t>
      </w:r>
      <w:r>
        <w:t xml:space="preserve"> na základě následujícího vzorce: </w:t>
      </w:r>
    </w:p>
    <w:p w:rsidR="00D6513E" w:rsidRDefault="00FA567C" w:rsidP="00D6513E">
      <w:pPr>
        <w:spacing w:before="240" w:after="240" w:line="276" w:lineRule="auto"/>
        <w:jc w:val="both"/>
      </w:pPr>
      <m:oMathPara>
        <m:oMath>
          <m:sSup>
            <m:sSupPr>
              <m:ctrlPr>
                <w:rPr>
                  <w:rFonts w:ascii="Cambria Math" w:hAnsi="Cambria Math"/>
                  <w:i/>
                </w:rPr>
              </m:ctrlPr>
            </m:sSupPr>
            <m:e>
              <m:r>
                <w:rPr>
                  <w:rFonts w:ascii="Cambria Math" w:hAnsi="Cambria Math"/>
                </w:rPr>
                <m:t>F</m:t>
              </m:r>
            </m:e>
            <m:sup>
              <m:r>
                <w:rPr>
                  <w:rFonts w:ascii="Cambria Math" w:hAnsi="Cambria Math"/>
                </w:rPr>
                <m:t>P</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P</m:t>
                  </m:r>
                </m:sup>
              </m:sSup>
              <m:r>
                <w:rPr>
                  <w:rFonts w:ascii="Cambria Math" w:hAnsi="Cambria Math"/>
                </w:rPr>
                <m:t>*(1+</m:t>
              </m:r>
              <m:sSubSup>
                <m:sSubSupPr>
                  <m:ctrlPr>
                    <w:rPr>
                      <w:rFonts w:ascii="Cambria Math" w:hAnsi="Cambria Math"/>
                      <w:i/>
                    </w:rPr>
                  </m:ctrlPr>
                </m:sSubSupPr>
                <m:e>
                  <m:r>
                    <w:rPr>
                      <w:rFonts w:ascii="Cambria Math" w:hAnsi="Cambria Math"/>
                    </w:rPr>
                    <m:t>i</m:t>
                  </m:r>
                </m:e>
                <m:sub>
                  <m:r>
                    <w:rPr>
                      <w:rFonts w:ascii="Cambria Math" w:hAnsi="Cambria Math"/>
                    </w:rPr>
                    <m:t>DM</m:t>
                  </m:r>
                </m:sub>
                <m:sup>
                  <m:r>
                    <w:rPr>
                      <w:rFonts w:ascii="Cambria Math" w:hAnsi="Cambria Math"/>
                    </w:rPr>
                    <m:t>P</m:t>
                  </m:r>
                </m:sup>
              </m:sSubSup>
              <m:r>
                <w:rPr>
                  <w:rFonts w:ascii="Cambria Math" w:hAnsi="Cambria Math"/>
                </w:rPr>
                <m:t>*t)</m:t>
              </m:r>
            </m:num>
            <m:den>
              <m:r>
                <w:rPr>
                  <w:rFonts w:ascii="Cambria Math" w:hAnsi="Cambria Math"/>
                </w:rPr>
                <m:t>(1+</m:t>
              </m:r>
              <m:sSubSup>
                <m:sSubSupPr>
                  <m:ctrlPr>
                    <w:rPr>
                      <w:rFonts w:ascii="Cambria Math" w:hAnsi="Cambria Math"/>
                      <w:i/>
                    </w:rPr>
                  </m:ctrlPr>
                </m:sSubSupPr>
                <m:e>
                  <m:r>
                    <w:rPr>
                      <w:rFonts w:ascii="Cambria Math" w:hAnsi="Cambria Math"/>
                    </w:rPr>
                    <m:t>i</m:t>
                  </m:r>
                </m:e>
                <m:sub>
                  <m:r>
                    <w:rPr>
                      <w:rFonts w:ascii="Cambria Math" w:hAnsi="Cambria Math"/>
                    </w:rPr>
                    <m:t>CM</m:t>
                  </m:r>
                </m:sub>
                <m:sup>
                  <m:r>
                    <w:rPr>
                      <w:rFonts w:ascii="Cambria Math" w:hAnsi="Cambria Math"/>
                    </w:rPr>
                    <m:t>N</m:t>
                  </m:r>
                </m:sup>
              </m:sSubSup>
              <m:r>
                <w:rPr>
                  <w:rFonts w:ascii="Cambria Math" w:hAnsi="Cambria Math"/>
                </w:rPr>
                <m:t>+t)</m:t>
              </m:r>
            </m:den>
          </m:f>
        </m:oMath>
      </m:oMathPara>
    </w:p>
    <w:p w:rsidR="00D6513E" w:rsidRDefault="00D6513E" w:rsidP="0049623D">
      <w:pPr>
        <w:spacing w:after="240" w:line="276" w:lineRule="auto"/>
        <w:jc w:val="both"/>
        <w:rPr>
          <w:rFonts w:eastAsiaTheme="minorEastAsia"/>
        </w:rPr>
      </w:pPr>
      <w:r>
        <w:rPr>
          <w:rFonts w:eastAsiaTheme="minorEastAsia"/>
        </w:rPr>
        <w:t xml:space="preserve">Po </w:t>
      </w:r>
      <w:r w:rsidR="00AC56EA">
        <w:rPr>
          <w:rFonts w:eastAsiaTheme="minorEastAsia"/>
        </w:rPr>
        <w:t>dosazení do vzorce vychází</w:t>
      </w:r>
      <w:r>
        <w:rPr>
          <w:rFonts w:eastAsiaTheme="minorEastAsia"/>
        </w:rPr>
        <w:t xml:space="preserve"> </w:t>
      </w:r>
      <w:r w:rsidR="00AC56EA">
        <w:rPr>
          <w:rFonts w:eastAsiaTheme="minorEastAsia"/>
        </w:rPr>
        <w:t xml:space="preserve">pro první a časově nejbližší forward </w:t>
      </w:r>
      <w:r>
        <w:rPr>
          <w:rFonts w:eastAsiaTheme="minorEastAsia"/>
        </w:rPr>
        <w:t xml:space="preserve">výsledek </w:t>
      </w:r>
      <w:r w:rsidR="0049623D">
        <w:rPr>
          <w:rFonts w:eastAsiaTheme="minorEastAsia"/>
        </w:rPr>
        <w:t xml:space="preserve">0,7542 EUR/USD. </w:t>
      </w:r>
      <w:r>
        <w:rPr>
          <w:rFonts w:eastAsiaTheme="minorEastAsia"/>
        </w:rPr>
        <w:t>Forward je bezpodmínečný termínový kontrakt. Nehledě na vývoj měnového kurzu a</w:t>
      </w:r>
      <w:r w:rsidR="0049623D">
        <w:rPr>
          <w:rFonts w:eastAsiaTheme="minorEastAsia"/>
        </w:rPr>
        <w:t> </w:t>
      </w:r>
      <w:r>
        <w:rPr>
          <w:rFonts w:eastAsiaTheme="minorEastAsia"/>
        </w:rPr>
        <w:t xml:space="preserve">jeho hodnotu ke dni 7. 8. 2013 obdrží </w:t>
      </w:r>
      <w:r>
        <w:t>společnost</w:t>
      </w:r>
      <w:r>
        <w:rPr>
          <w:rFonts w:eastAsiaTheme="minorEastAsia"/>
        </w:rPr>
        <w:t xml:space="preserve"> </w:t>
      </w:r>
      <w:r w:rsidR="00361DA1">
        <w:rPr>
          <w:rFonts w:eastAsiaTheme="minorEastAsia"/>
        </w:rPr>
        <w:t>Delor</w:t>
      </w:r>
      <w:r>
        <w:rPr>
          <w:rFonts w:eastAsiaTheme="minorEastAsia"/>
        </w:rPr>
        <w:t xml:space="preserve"> k tomuto datu hodnotu 100</w:t>
      </w:r>
      <w:r w:rsidR="0049623D">
        <w:rPr>
          <w:rFonts w:eastAsiaTheme="minorEastAsia"/>
        </w:rPr>
        <w:t> </w:t>
      </w:r>
      <w:r>
        <w:rPr>
          <w:rFonts w:eastAsiaTheme="minorEastAsia"/>
        </w:rPr>
        <w:t>000</w:t>
      </w:r>
      <w:r w:rsidR="0049623D">
        <w:rPr>
          <w:rFonts w:eastAsiaTheme="minorEastAsia"/>
        </w:rPr>
        <w:t> </w:t>
      </w:r>
      <w:r w:rsidR="00447807">
        <w:rPr>
          <w:rFonts w:eastAsiaTheme="minorEastAsia"/>
        </w:rPr>
        <w:t>EUR</w:t>
      </w:r>
      <w:r w:rsidR="0049623D">
        <w:rPr>
          <w:rFonts w:eastAsiaTheme="minorEastAsia"/>
        </w:rPr>
        <w:t xml:space="preserve"> </w:t>
      </w:r>
      <w:r>
        <w:rPr>
          <w:rFonts w:eastAsiaTheme="minorEastAsia"/>
        </w:rPr>
        <w:t>přepočtenou dle stanoveného forwardového měno</w:t>
      </w:r>
      <w:r w:rsidR="0049623D">
        <w:rPr>
          <w:rFonts w:eastAsiaTheme="minorEastAsia"/>
        </w:rPr>
        <w:t xml:space="preserve">vého kurzu. Celkem tedy obdrží </w:t>
      </w:r>
      <w:r>
        <w:rPr>
          <w:rFonts w:eastAsiaTheme="minorEastAsia"/>
        </w:rPr>
        <w:t>132 590,82</w:t>
      </w:r>
      <w:r w:rsidR="0049623D">
        <w:rPr>
          <w:rFonts w:eastAsiaTheme="minorEastAsia"/>
        </w:rPr>
        <w:t> </w:t>
      </w:r>
      <w:r w:rsidR="00447807">
        <w:rPr>
          <w:rFonts w:eastAsiaTheme="minorEastAsia"/>
        </w:rPr>
        <w:t>USD</w:t>
      </w:r>
      <w:r>
        <w:rPr>
          <w:rFonts w:eastAsiaTheme="minorEastAsia"/>
        </w:rPr>
        <w:t>. Spotová hodnota měnového kurzu ke dni 7. 8. 2013 činí 0,9034</w:t>
      </w:r>
      <w:r w:rsidR="002A0F6F">
        <w:rPr>
          <w:rFonts w:eastAsiaTheme="minorEastAsia"/>
        </w:rPr>
        <w:t> </w:t>
      </w:r>
      <w:r>
        <w:rPr>
          <w:rFonts w:eastAsiaTheme="minorEastAsia"/>
        </w:rPr>
        <w:t xml:space="preserve">USD/EUR. Pokud by nedošlo ze strany </w:t>
      </w:r>
      <w:r>
        <w:t>společnosti</w:t>
      </w:r>
      <w:r>
        <w:rPr>
          <w:rFonts w:eastAsiaTheme="minorEastAsia"/>
        </w:rPr>
        <w:t xml:space="preserve"> </w:t>
      </w:r>
      <w:r w:rsidR="00361DA1">
        <w:rPr>
          <w:rFonts w:eastAsiaTheme="minorEastAsia"/>
        </w:rPr>
        <w:t>Delor</w:t>
      </w:r>
      <w:r>
        <w:rPr>
          <w:rFonts w:eastAsiaTheme="minorEastAsia"/>
        </w:rPr>
        <w:t xml:space="preserve"> k zajištění pomocí měnového forwardu, obdržela by na spotovém trhu 110 692,94 </w:t>
      </w:r>
      <w:r w:rsidR="00447807">
        <w:rPr>
          <w:rFonts w:eastAsiaTheme="minorEastAsia"/>
        </w:rPr>
        <w:t>USD</w:t>
      </w:r>
      <w:r>
        <w:rPr>
          <w:rFonts w:eastAsiaTheme="minorEastAsia"/>
        </w:rPr>
        <w:t xml:space="preserve">. Sjednáním prvního měnového forwardu, tedy forwardu s nejbližší dobou splatnosti, </w:t>
      </w:r>
      <w:r>
        <w:t>společnost</w:t>
      </w:r>
      <w:r>
        <w:rPr>
          <w:rFonts w:eastAsiaTheme="minorEastAsia"/>
        </w:rPr>
        <w:t xml:space="preserve"> vydělala.</w:t>
      </w:r>
    </w:p>
    <w:p w:rsidR="00787AD2" w:rsidRDefault="00D6513E" w:rsidP="00787AD2">
      <w:pPr>
        <w:spacing w:after="240" w:line="276" w:lineRule="auto"/>
        <w:jc w:val="both"/>
        <w:rPr>
          <w:rFonts w:eastAsiaTheme="minorEastAsia"/>
        </w:rPr>
      </w:pPr>
      <w:r>
        <w:rPr>
          <w:rFonts w:eastAsiaTheme="minorEastAsia"/>
        </w:rPr>
        <w:t>V </w:t>
      </w:r>
      <w:r w:rsidR="00787AD2">
        <w:rPr>
          <w:rFonts w:eastAsiaTheme="minorEastAsia"/>
        </w:rPr>
        <w:t>Tabulce 7</w:t>
      </w:r>
      <w:r>
        <w:rPr>
          <w:rFonts w:eastAsiaTheme="minorEastAsia"/>
        </w:rPr>
        <w:t xml:space="preserve"> jsou uvedeny </w:t>
      </w:r>
      <w:r w:rsidR="00787AD2">
        <w:rPr>
          <w:rFonts w:eastAsiaTheme="minorEastAsia"/>
        </w:rPr>
        <w:t xml:space="preserve">výsledné </w:t>
      </w:r>
      <w:r>
        <w:rPr>
          <w:rFonts w:eastAsiaTheme="minorEastAsia"/>
        </w:rPr>
        <w:t>hodnoty pro všechny sjednané fo</w:t>
      </w:r>
      <w:r w:rsidR="00AC56EA">
        <w:rPr>
          <w:rFonts w:eastAsiaTheme="minorEastAsia"/>
        </w:rPr>
        <w:t>rwardy. Výsledky jsou simulovány</w:t>
      </w:r>
      <w:r>
        <w:rPr>
          <w:rFonts w:eastAsiaTheme="minorEastAsia"/>
        </w:rPr>
        <w:t xml:space="preserve"> dle očekávaného vývoje měnového kurzu EUR/USD. Tabulka uvádí výsledky pro</w:t>
      </w:r>
      <w:r w:rsidR="00787AD2">
        <w:rPr>
          <w:rFonts w:eastAsiaTheme="minorEastAsia"/>
        </w:rPr>
        <w:t> </w:t>
      </w:r>
      <w:r>
        <w:rPr>
          <w:rFonts w:eastAsiaTheme="minorEastAsia"/>
        </w:rPr>
        <w:t xml:space="preserve">případ zajištění pomocí forwardu i </w:t>
      </w:r>
      <w:r w:rsidR="00787AD2">
        <w:rPr>
          <w:rFonts w:eastAsiaTheme="minorEastAsia"/>
        </w:rPr>
        <w:t>pro případ jeho nesjednání.</w:t>
      </w:r>
    </w:p>
    <w:p w:rsidR="00787AD2" w:rsidRDefault="00787AD2" w:rsidP="00787AD2">
      <w:pPr>
        <w:spacing w:after="240" w:line="276" w:lineRule="auto"/>
        <w:jc w:val="both"/>
        <w:rPr>
          <w:rFonts w:eastAsiaTheme="minorHAnsi"/>
          <w:bCs/>
          <w:szCs w:val="18"/>
          <w:lang w:eastAsia="en-US"/>
        </w:rPr>
      </w:pPr>
    </w:p>
    <w:p w:rsidR="00787AD2" w:rsidRDefault="00787AD2">
      <w:pPr>
        <w:suppressAutoHyphens w:val="0"/>
        <w:spacing w:after="200" w:line="276" w:lineRule="auto"/>
        <w:rPr>
          <w:rFonts w:eastAsiaTheme="minorHAnsi"/>
          <w:bCs/>
          <w:szCs w:val="18"/>
          <w:lang w:eastAsia="en-US"/>
        </w:rPr>
      </w:pPr>
      <w:r>
        <w:rPr>
          <w:b/>
        </w:rPr>
        <w:br w:type="page"/>
      </w:r>
    </w:p>
    <w:p w:rsidR="00787AD2" w:rsidRPr="00787AD2" w:rsidRDefault="00787AD2" w:rsidP="00787AD2">
      <w:pPr>
        <w:pStyle w:val="Titulek"/>
        <w:keepNext/>
        <w:spacing w:line="276" w:lineRule="auto"/>
        <w:jc w:val="both"/>
        <w:rPr>
          <w:rFonts w:ascii="Times New Roman" w:hAnsi="Times New Roman" w:cs="Times New Roman"/>
          <w:b w:val="0"/>
          <w:color w:val="auto"/>
          <w:sz w:val="24"/>
        </w:rPr>
      </w:pPr>
      <w:bookmarkStart w:id="89" w:name="_Toc354393030"/>
      <w:r w:rsidRPr="00787AD2">
        <w:rPr>
          <w:rFonts w:ascii="Times New Roman" w:hAnsi="Times New Roman" w:cs="Times New Roman"/>
          <w:b w:val="0"/>
          <w:color w:val="auto"/>
          <w:sz w:val="24"/>
        </w:rPr>
        <w:lastRenderedPageBreak/>
        <w:t xml:space="preserve">Tabulka </w:t>
      </w:r>
      <w:r w:rsidR="00FA567C" w:rsidRPr="00787AD2">
        <w:rPr>
          <w:rFonts w:ascii="Times New Roman" w:hAnsi="Times New Roman" w:cs="Times New Roman"/>
          <w:b w:val="0"/>
          <w:color w:val="auto"/>
          <w:sz w:val="24"/>
        </w:rPr>
        <w:fldChar w:fldCharType="begin"/>
      </w:r>
      <w:r w:rsidRPr="00787AD2">
        <w:rPr>
          <w:rFonts w:ascii="Times New Roman" w:hAnsi="Times New Roman" w:cs="Times New Roman"/>
          <w:b w:val="0"/>
          <w:color w:val="auto"/>
          <w:sz w:val="24"/>
        </w:rPr>
        <w:instrText xml:space="preserve"> SEQ Tabulka \* ARABIC </w:instrText>
      </w:r>
      <w:r w:rsidR="00FA567C" w:rsidRPr="00787AD2">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7</w:t>
      </w:r>
      <w:r w:rsidR="00FA567C" w:rsidRPr="00787AD2">
        <w:rPr>
          <w:rFonts w:ascii="Times New Roman" w:hAnsi="Times New Roman" w:cs="Times New Roman"/>
          <w:b w:val="0"/>
          <w:color w:val="auto"/>
          <w:sz w:val="24"/>
        </w:rPr>
        <w:fldChar w:fldCharType="end"/>
      </w:r>
      <w:r w:rsidRPr="00787AD2">
        <w:rPr>
          <w:rFonts w:ascii="Times New Roman" w:hAnsi="Times New Roman" w:cs="Times New Roman"/>
          <w:b w:val="0"/>
          <w:color w:val="auto"/>
          <w:sz w:val="24"/>
        </w:rPr>
        <w:t>: Peněžní toky plynoucí ze sjednaných měnových forwardů</w:t>
      </w:r>
      <w:bookmarkEnd w:id="89"/>
    </w:p>
    <w:tbl>
      <w:tblPr>
        <w:tblStyle w:val="Svtlstnovn1"/>
        <w:tblW w:w="8164" w:type="dxa"/>
        <w:jc w:val="center"/>
        <w:tblLook w:val="04E0"/>
      </w:tblPr>
      <w:tblGrid>
        <w:gridCol w:w="1330"/>
        <w:gridCol w:w="1597"/>
        <w:gridCol w:w="2076"/>
        <w:gridCol w:w="1582"/>
        <w:gridCol w:w="1579"/>
      </w:tblGrid>
      <w:tr w:rsidR="00D6513E" w:rsidRPr="003E0EAF" w:rsidTr="00787AD2">
        <w:trPr>
          <w:cnfStyle w:val="100000000000"/>
          <w:trHeight w:val="300"/>
          <w:jc w:val="center"/>
        </w:trPr>
        <w:tc>
          <w:tcPr>
            <w:cnfStyle w:val="001000000000"/>
            <w:tcW w:w="1330" w:type="dxa"/>
            <w:noWrap/>
            <w:vAlign w:val="center"/>
            <w:hideMark/>
          </w:tcPr>
          <w:p w:rsidR="00D6513E" w:rsidRPr="00787AD2" w:rsidRDefault="00D6513E" w:rsidP="00787AD2">
            <w:pPr>
              <w:spacing w:line="276" w:lineRule="auto"/>
              <w:jc w:val="center"/>
              <w:rPr>
                <w:color w:val="000000"/>
                <w:sz w:val="24"/>
                <w:szCs w:val="24"/>
                <w:lang w:eastAsia="cs-CZ"/>
              </w:rPr>
            </w:pPr>
            <w:r w:rsidRPr="00787AD2">
              <w:rPr>
                <w:color w:val="000000"/>
                <w:sz w:val="24"/>
                <w:szCs w:val="24"/>
                <w:lang w:eastAsia="cs-CZ"/>
              </w:rPr>
              <w:t>Datum</w:t>
            </w:r>
          </w:p>
        </w:tc>
        <w:tc>
          <w:tcPr>
            <w:tcW w:w="1597" w:type="dxa"/>
            <w:noWrap/>
            <w:vAlign w:val="center"/>
            <w:hideMark/>
          </w:tcPr>
          <w:p w:rsidR="00D6513E" w:rsidRPr="00787AD2" w:rsidRDefault="00D6513E" w:rsidP="00787AD2">
            <w:pPr>
              <w:spacing w:line="276" w:lineRule="auto"/>
              <w:jc w:val="center"/>
              <w:cnfStyle w:val="100000000000"/>
              <w:rPr>
                <w:color w:val="000000"/>
                <w:sz w:val="24"/>
                <w:szCs w:val="24"/>
                <w:lang w:eastAsia="cs-CZ"/>
              </w:rPr>
            </w:pPr>
            <w:r w:rsidRPr="00787AD2">
              <w:rPr>
                <w:color w:val="000000"/>
                <w:sz w:val="24"/>
                <w:szCs w:val="24"/>
                <w:lang w:eastAsia="cs-CZ"/>
              </w:rPr>
              <w:t>Spotový kurz</w:t>
            </w:r>
          </w:p>
        </w:tc>
        <w:tc>
          <w:tcPr>
            <w:tcW w:w="2076" w:type="dxa"/>
            <w:noWrap/>
            <w:vAlign w:val="center"/>
            <w:hideMark/>
          </w:tcPr>
          <w:p w:rsidR="00D6513E" w:rsidRPr="00787AD2" w:rsidRDefault="00D6513E" w:rsidP="00787AD2">
            <w:pPr>
              <w:spacing w:line="276" w:lineRule="auto"/>
              <w:jc w:val="center"/>
              <w:cnfStyle w:val="100000000000"/>
              <w:rPr>
                <w:color w:val="000000"/>
                <w:sz w:val="24"/>
                <w:szCs w:val="24"/>
                <w:lang w:eastAsia="cs-CZ"/>
              </w:rPr>
            </w:pPr>
            <w:r w:rsidRPr="00787AD2">
              <w:rPr>
                <w:color w:val="000000"/>
                <w:sz w:val="24"/>
                <w:szCs w:val="24"/>
                <w:lang w:eastAsia="cs-CZ"/>
              </w:rPr>
              <w:t>Forwardový kurz</w:t>
            </w:r>
          </w:p>
        </w:tc>
        <w:tc>
          <w:tcPr>
            <w:tcW w:w="1582" w:type="dxa"/>
            <w:noWrap/>
            <w:vAlign w:val="center"/>
            <w:hideMark/>
          </w:tcPr>
          <w:p w:rsidR="00D6513E" w:rsidRPr="00787AD2" w:rsidRDefault="00D6513E" w:rsidP="00787AD2">
            <w:pPr>
              <w:spacing w:line="276" w:lineRule="auto"/>
              <w:jc w:val="center"/>
              <w:cnfStyle w:val="100000000000"/>
              <w:rPr>
                <w:color w:val="000000"/>
                <w:sz w:val="24"/>
                <w:szCs w:val="24"/>
                <w:lang w:eastAsia="cs-CZ"/>
              </w:rPr>
            </w:pPr>
            <w:r w:rsidRPr="00787AD2">
              <w:rPr>
                <w:color w:val="000000"/>
                <w:sz w:val="24"/>
                <w:szCs w:val="24"/>
                <w:lang w:eastAsia="cs-CZ"/>
              </w:rPr>
              <w:t>Bez zajištění</w:t>
            </w:r>
          </w:p>
        </w:tc>
        <w:tc>
          <w:tcPr>
            <w:tcW w:w="1579" w:type="dxa"/>
            <w:noWrap/>
            <w:vAlign w:val="center"/>
            <w:hideMark/>
          </w:tcPr>
          <w:p w:rsidR="00D6513E" w:rsidRPr="00787AD2" w:rsidRDefault="00D6513E" w:rsidP="00787AD2">
            <w:pPr>
              <w:spacing w:line="276" w:lineRule="auto"/>
              <w:jc w:val="center"/>
              <w:cnfStyle w:val="100000000000"/>
              <w:rPr>
                <w:color w:val="000000"/>
                <w:sz w:val="24"/>
                <w:szCs w:val="24"/>
                <w:lang w:eastAsia="cs-CZ"/>
              </w:rPr>
            </w:pPr>
            <w:r w:rsidRPr="00787AD2">
              <w:rPr>
                <w:color w:val="000000"/>
                <w:sz w:val="24"/>
                <w:szCs w:val="24"/>
                <w:lang w:eastAsia="cs-CZ"/>
              </w:rPr>
              <w:t>Se zajištěním</w:t>
            </w:r>
          </w:p>
        </w:tc>
      </w:tr>
      <w:tr w:rsidR="00D6513E" w:rsidRPr="003E0EAF" w:rsidTr="001433CF">
        <w:trPr>
          <w:cnfStyle w:val="000000100000"/>
          <w:trHeight w:val="300"/>
          <w:jc w:val="center"/>
        </w:trPr>
        <w:tc>
          <w:tcPr>
            <w:cnfStyle w:val="001000000000"/>
            <w:tcW w:w="1330" w:type="dxa"/>
            <w:shd w:val="clear" w:color="auto" w:fill="D9D9D9" w:themeFill="background1" w:themeFillShade="D9"/>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7. 2. 2013</w:t>
            </w:r>
          </w:p>
        </w:tc>
        <w:tc>
          <w:tcPr>
            <w:tcW w:w="1597"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0,7464</w:t>
            </w:r>
          </w:p>
        </w:tc>
        <w:tc>
          <w:tcPr>
            <w:tcW w:w="2076"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p>
        </w:tc>
        <w:tc>
          <w:tcPr>
            <w:tcW w:w="1582"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p>
        </w:tc>
        <w:tc>
          <w:tcPr>
            <w:tcW w:w="1579"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p>
        </w:tc>
      </w:tr>
      <w:tr w:rsidR="00D6513E" w:rsidRPr="003E0EAF" w:rsidTr="00787AD2">
        <w:trPr>
          <w:trHeight w:val="300"/>
          <w:jc w:val="center"/>
        </w:trPr>
        <w:tc>
          <w:tcPr>
            <w:cnfStyle w:val="001000000000"/>
            <w:tcW w:w="1330" w:type="dxa"/>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7. 8. 2013</w:t>
            </w:r>
          </w:p>
        </w:tc>
        <w:tc>
          <w:tcPr>
            <w:tcW w:w="1597"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0,9034</w:t>
            </w:r>
          </w:p>
        </w:tc>
        <w:tc>
          <w:tcPr>
            <w:tcW w:w="2076"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0,7542</w:t>
            </w:r>
          </w:p>
        </w:tc>
        <w:tc>
          <w:tcPr>
            <w:tcW w:w="1582"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110 692,94</w:t>
            </w:r>
          </w:p>
        </w:tc>
        <w:tc>
          <w:tcPr>
            <w:tcW w:w="1579"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132 590,82</w:t>
            </w:r>
          </w:p>
        </w:tc>
      </w:tr>
      <w:tr w:rsidR="00D6513E" w:rsidRPr="003E0EAF" w:rsidTr="001433CF">
        <w:trPr>
          <w:cnfStyle w:val="000000100000"/>
          <w:trHeight w:val="300"/>
          <w:jc w:val="center"/>
        </w:trPr>
        <w:tc>
          <w:tcPr>
            <w:cnfStyle w:val="001000000000"/>
            <w:tcW w:w="1330" w:type="dxa"/>
            <w:shd w:val="clear" w:color="auto" w:fill="D9D9D9" w:themeFill="background1" w:themeFillShade="D9"/>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7. 2. 2014</w:t>
            </w:r>
          </w:p>
        </w:tc>
        <w:tc>
          <w:tcPr>
            <w:tcW w:w="1597"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0,8657</w:t>
            </w:r>
          </w:p>
        </w:tc>
        <w:tc>
          <w:tcPr>
            <w:tcW w:w="2076"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0,7618</w:t>
            </w:r>
          </w:p>
        </w:tc>
        <w:tc>
          <w:tcPr>
            <w:tcW w:w="1582"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115 513,46</w:t>
            </w:r>
          </w:p>
        </w:tc>
        <w:tc>
          <w:tcPr>
            <w:tcW w:w="1579"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131 268,05</w:t>
            </w:r>
          </w:p>
        </w:tc>
      </w:tr>
      <w:tr w:rsidR="00D6513E" w:rsidRPr="003E0EAF" w:rsidTr="00787AD2">
        <w:trPr>
          <w:trHeight w:val="300"/>
          <w:jc w:val="center"/>
        </w:trPr>
        <w:tc>
          <w:tcPr>
            <w:cnfStyle w:val="001000000000"/>
            <w:tcW w:w="1330" w:type="dxa"/>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7. 8. 2014</w:t>
            </w:r>
          </w:p>
        </w:tc>
        <w:tc>
          <w:tcPr>
            <w:tcW w:w="1597"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0,7356</w:t>
            </w:r>
          </w:p>
        </w:tc>
        <w:tc>
          <w:tcPr>
            <w:tcW w:w="2076"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0,7692</w:t>
            </w:r>
          </w:p>
        </w:tc>
        <w:tc>
          <w:tcPr>
            <w:tcW w:w="1582"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135 943,45</w:t>
            </w:r>
          </w:p>
        </w:tc>
        <w:tc>
          <w:tcPr>
            <w:tcW w:w="1579" w:type="dxa"/>
            <w:noWrap/>
            <w:vAlign w:val="center"/>
            <w:hideMark/>
          </w:tcPr>
          <w:p w:rsidR="00D6513E" w:rsidRPr="00787AD2" w:rsidRDefault="00D6513E" w:rsidP="00787AD2">
            <w:pPr>
              <w:spacing w:line="276" w:lineRule="auto"/>
              <w:jc w:val="center"/>
              <w:cnfStyle w:val="000000000000"/>
              <w:rPr>
                <w:color w:val="FF0000"/>
                <w:sz w:val="24"/>
                <w:szCs w:val="24"/>
                <w:lang w:eastAsia="cs-CZ"/>
              </w:rPr>
            </w:pPr>
            <w:r w:rsidRPr="00787AD2">
              <w:rPr>
                <w:color w:val="FF0000"/>
                <w:sz w:val="24"/>
                <w:szCs w:val="24"/>
                <w:lang w:eastAsia="cs-CZ"/>
              </w:rPr>
              <w:t>130 005,20</w:t>
            </w:r>
          </w:p>
        </w:tc>
      </w:tr>
      <w:tr w:rsidR="00D6513E" w:rsidRPr="003E0EAF" w:rsidTr="001433CF">
        <w:trPr>
          <w:cnfStyle w:val="000000100000"/>
          <w:trHeight w:val="300"/>
          <w:jc w:val="center"/>
        </w:trPr>
        <w:tc>
          <w:tcPr>
            <w:cnfStyle w:val="001000000000"/>
            <w:tcW w:w="1330" w:type="dxa"/>
            <w:shd w:val="clear" w:color="auto" w:fill="D9D9D9" w:themeFill="background1" w:themeFillShade="D9"/>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7. 2. 2015</w:t>
            </w:r>
          </w:p>
        </w:tc>
        <w:tc>
          <w:tcPr>
            <w:tcW w:w="1597"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0,9683</w:t>
            </w:r>
          </w:p>
        </w:tc>
        <w:tc>
          <w:tcPr>
            <w:tcW w:w="2076"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0,7765</w:t>
            </w:r>
          </w:p>
        </w:tc>
        <w:tc>
          <w:tcPr>
            <w:tcW w:w="1582"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103 273,78</w:t>
            </w:r>
          </w:p>
        </w:tc>
        <w:tc>
          <w:tcPr>
            <w:tcW w:w="1579"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128 783,00</w:t>
            </w:r>
          </w:p>
        </w:tc>
      </w:tr>
      <w:tr w:rsidR="00D6513E" w:rsidRPr="003E0EAF" w:rsidTr="00787AD2">
        <w:trPr>
          <w:trHeight w:val="300"/>
          <w:jc w:val="center"/>
        </w:trPr>
        <w:tc>
          <w:tcPr>
            <w:cnfStyle w:val="001000000000"/>
            <w:tcW w:w="1330" w:type="dxa"/>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7. 8. 2015</w:t>
            </w:r>
          </w:p>
        </w:tc>
        <w:tc>
          <w:tcPr>
            <w:tcW w:w="1597"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0,9967</w:t>
            </w:r>
          </w:p>
        </w:tc>
        <w:tc>
          <w:tcPr>
            <w:tcW w:w="2076"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0,7836</w:t>
            </w:r>
          </w:p>
        </w:tc>
        <w:tc>
          <w:tcPr>
            <w:tcW w:w="1582"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100 331,09</w:t>
            </w:r>
          </w:p>
        </w:tc>
        <w:tc>
          <w:tcPr>
            <w:tcW w:w="1579"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127 616,13</w:t>
            </w:r>
          </w:p>
        </w:tc>
      </w:tr>
      <w:tr w:rsidR="00D6513E" w:rsidRPr="003E0EAF" w:rsidTr="001433CF">
        <w:trPr>
          <w:cnfStyle w:val="000000100000"/>
          <w:trHeight w:val="300"/>
          <w:jc w:val="center"/>
        </w:trPr>
        <w:tc>
          <w:tcPr>
            <w:cnfStyle w:val="001000000000"/>
            <w:tcW w:w="1330" w:type="dxa"/>
            <w:shd w:val="clear" w:color="auto" w:fill="D9D9D9" w:themeFill="background1" w:themeFillShade="D9"/>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7. 2. 2016</w:t>
            </w:r>
          </w:p>
        </w:tc>
        <w:tc>
          <w:tcPr>
            <w:tcW w:w="1597"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0,8324</w:t>
            </w:r>
          </w:p>
        </w:tc>
        <w:tc>
          <w:tcPr>
            <w:tcW w:w="2076"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0,7906</w:t>
            </w:r>
          </w:p>
        </w:tc>
        <w:tc>
          <w:tcPr>
            <w:tcW w:w="1582"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120 134,55</w:t>
            </w:r>
          </w:p>
        </w:tc>
        <w:tc>
          <w:tcPr>
            <w:tcW w:w="1579"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126 486,21</w:t>
            </w:r>
          </w:p>
        </w:tc>
      </w:tr>
      <w:tr w:rsidR="00D6513E" w:rsidRPr="003E0EAF" w:rsidTr="00787AD2">
        <w:trPr>
          <w:trHeight w:val="300"/>
          <w:jc w:val="center"/>
        </w:trPr>
        <w:tc>
          <w:tcPr>
            <w:cnfStyle w:val="001000000000"/>
            <w:tcW w:w="1330" w:type="dxa"/>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7. 8. 2016</w:t>
            </w:r>
          </w:p>
        </w:tc>
        <w:tc>
          <w:tcPr>
            <w:tcW w:w="1597"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0,8067</w:t>
            </w:r>
          </w:p>
        </w:tc>
        <w:tc>
          <w:tcPr>
            <w:tcW w:w="2076"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0,7975</w:t>
            </w:r>
          </w:p>
        </w:tc>
        <w:tc>
          <w:tcPr>
            <w:tcW w:w="1582"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123 961,82</w:t>
            </w:r>
          </w:p>
        </w:tc>
        <w:tc>
          <w:tcPr>
            <w:tcW w:w="1579"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125 391,85</w:t>
            </w:r>
          </w:p>
        </w:tc>
      </w:tr>
      <w:tr w:rsidR="00D6513E" w:rsidRPr="003E0EAF" w:rsidTr="001433CF">
        <w:trPr>
          <w:cnfStyle w:val="000000100000"/>
          <w:trHeight w:val="300"/>
          <w:jc w:val="center"/>
        </w:trPr>
        <w:tc>
          <w:tcPr>
            <w:cnfStyle w:val="001000000000"/>
            <w:tcW w:w="1330" w:type="dxa"/>
            <w:shd w:val="clear" w:color="auto" w:fill="D9D9D9" w:themeFill="background1" w:themeFillShade="D9"/>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7. 2. 2017</w:t>
            </w:r>
          </w:p>
        </w:tc>
        <w:tc>
          <w:tcPr>
            <w:tcW w:w="1597"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0,7828</w:t>
            </w:r>
          </w:p>
        </w:tc>
        <w:tc>
          <w:tcPr>
            <w:tcW w:w="2076"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0,8042</w:t>
            </w:r>
          </w:p>
        </w:tc>
        <w:tc>
          <w:tcPr>
            <w:tcW w:w="1582"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127 746,55</w:t>
            </w:r>
          </w:p>
        </w:tc>
        <w:tc>
          <w:tcPr>
            <w:tcW w:w="1579"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FF0000"/>
                <w:sz w:val="24"/>
                <w:szCs w:val="24"/>
                <w:lang w:eastAsia="cs-CZ"/>
              </w:rPr>
            </w:pPr>
            <w:r w:rsidRPr="00787AD2">
              <w:rPr>
                <w:color w:val="FF0000"/>
                <w:sz w:val="24"/>
                <w:szCs w:val="24"/>
                <w:lang w:eastAsia="cs-CZ"/>
              </w:rPr>
              <w:t>124 347,18</w:t>
            </w:r>
          </w:p>
        </w:tc>
      </w:tr>
      <w:tr w:rsidR="00D6513E" w:rsidRPr="003E0EAF" w:rsidTr="00787AD2">
        <w:trPr>
          <w:trHeight w:val="300"/>
          <w:jc w:val="center"/>
        </w:trPr>
        <w:tc>
          <w:tcPr>
            <w:cnfStyle w:val="001000000000"/>
            <w:tcW w:w="1330" w:type="dxa"/>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7. 8. 2017</w:t>
            </w:r>
          </w:p>
        </w:tc>
        <w:tc>
          <w:tcPr>
            <w:tcW w:w="1597"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0,7267</w:t>
            </w:r>
          </w:p>
        </w:tc>
        <w:tc>
          <w:tcPr>
            <w:tcW w:w="2076"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0,8108</w:t>
            </w:r>
          </w:p>
        </w:tc>
        <w:tc>
          <w:tcPr>
            <w:tcW w:w="1582" w:type="dxa"/>
            <w:noWrap/>
            <w:vAlign w:val="center"/>
            <w:hideMark/>
          </w:tcPr>
          <w:p w:rsidR="00D6513E" w:rsidRPr="00787AD2" w:rsidRDefault="00D6513E" w:rsidP="00787AD2">
            <w:pPr>
              <w:spacing w:line="276" w:lineRule="auto"/>
              <w:jc w:val="center"/>
              <w:cnfStyle w:val="000000000000"/>
              <w:rPr>
                <w:color w:val="000000"/>
                <w:sz w:val="24"/>
                <w:szCs w:val="24"/>
                <w:lang w:eastAsia="cs-CZ"/>
              </w:rPr>
            </w:pPr>
            <w:r w:rsidRPr="00787AD2">
              <w:rPr>
                <w:color w:val="000000"/>
                <w:sz w:val="24"/>
                <w:szCs w:val="24"/>
                <w:lang w:eastAsia="cs-CZ"/>
              </w:rPr>
              <w:t>137 608,37</w:t>
            </w:r>
          </w:p>
        </w:tc>
        <w:tc>
          <w:tcPr>
            <w:tcW w:w="1579" w:type="dxa"/>
            <w:noWrap/>
            <w:vAlign w:val="center"/>
            <w:hideMark/>
          </w:tcPr>
          <w:p w:rsidR="00D6513E" w:rsidRPr="00787AD2" w:rsidRDefault="00D6513E" w:rsidP="00787AD2">
            <w:pPr>
              <w:spacing w:line="276" w:lineRule="auto"/>
              <w:jc w:val="center"/>
              <w:cnfStyle w:val="000000000000"/>
              <w:rPr>
                <w:color w:val="FF0000"/>
                <w:sz w:val="24"/>
                <w:szCs w:val="24"/>
                <w:lang w:eastAsia="cs-CZ"/>
              </w:rPr>
            </w:pPr>
            <w:r w:rsidRPr="00787AD2">
              <w:rPr>
                <w:color w:val="FF0000"/>
                <w:sz w:val="24"/>
                <w:szCs w:val="24"/>
                <w:lang w:eastAsia="cs-CZ"/>
              </w:rPr>
              <w:t>123 334,98</w:t>
            </w:r>
          </w:p>
        </w:tc>
      </w:tr>
      <w:tr w:rsidR="00D6513E" w:rsidRPr="003E0EAF" w:rsidTr="001433CF">
        <w:trPr>
          <w:cnfStyle w:val="000000100000"/>
          <w:trHeight w:val="300"/>
          <w:jc w:val="center"/>
        </w:trPr>
        <w:tc>
          <w:tcPr>
            <w:cnfStyle w:val="001000000000"/>
            <w:tcW w:w="1330" w:type="dxa"/>
            <w:shd w:val="clear" w:color="auto" w:fill="D9D9D9" w:themeFill="background1" w:themeFillShade="D9"/>
            <w:noWrap/>
            <w:vAlign w:val="center"/>
            <w:hideMark/>
          </w:tcPr>
          <w:p w:rsidR="00D6513E" w:rsidRPr="00787AD2" w:rsidRDefault="00D6513E" w:rsidP="00787AD2">
            <w:pPr>
              <w:spacing w:line="276" w:lineRule="auto"/>
              <w:jc w:val="center"/>
              <w:rPr>
                <w:b w:val="0"/>
                <w:color w:val="000000"/>
                <w:sz w:val="24"/>
                <w:szCs w:val="24"/>
                <w:lang w:eastAsia="cs-CZ"/>
              </w:rPr>
            </w:pPr>
            <w:r w:rsidRPr="00787AD2">
              <w:rPr>
                <w:b w:val="0"/>
                <w:color w:val="000000"/>
                <w:sz w:val="24"/>
                <w:szCs w:val="24"/>
                <w:lang w:eastAsia="cs-CZ"/>
              </w:rPr>
              <w:t>7. 2. 2018</w:t>
            </w:r>
          </w:p>
        </w:tc>
        <w:tc>
          <w:tcPr>
            <w:tcW w:w="1597"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0,6468</w:t>
            </w:r>
          </w:p>
        </w:tc>
        <w:tc>
          <w:tcPr>
            <w:tcW w:w="2076"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0,8173</w:t>
            </w:r>
          </w:p>
        </w:tc>
        <w:tc>
          <w:tcPr>
            <w:tcW w:w="1582"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000000"/>
                <w:sz w:val="24"/>
                <w:szCs w:val="24"/>
                <w:lang w:eastAsia="cs-CZ"/>
              </w:rPr>
            </w:pPr>
            <w:r w:rsidRPr="00787AD2">
              <w:rPr>
                <w:color w:val="000000"/>
                <w:sz w:val="24"/>
                <w:szCs w:val="24"/>
                <w:lang w:eastAsia="cs-CZ"/>
              </w:rPr>
              <w:t>154 607,30</w:t>
            </w:r>
          </w:p>
        </w:tc>
        <w:tc>
          <w:tcPr>
            <w:tcW w:w="1579" w:type="dxa"/>
            <w:shd w:val="clear" w:color="auto" w:fill="D9D9D9" w:themeFill="background1" w:themeFillShade="D9"/>
            <w:noWrap/>
            <w:vAlign w:val="center"/>
            <w:hideMark/>
          </w:tcPr>
          <w:p w:rsidR="00D6513E" w:rsidRPr="00787AD2" w:rsidRDefault="00D6513E" w:rsidP="00787AD2">
            <w:pPr>
              <w:spacing w:line="276" w:lineRule="auto"/>
              <w:jc w:val="center"/>
              <w:cnfStyle w:val="000000100000"/>
              <w:rPr>
                <w:color w:val="FF0000"/>
                <w:sz w:val="24"/>
                <w:szCs w:val="24"/>
                <w:lang w:eastAsia="cs-CZ"/>
              </w:rPr>
            </w:pPr>
            <w:r w:rsidRPr="00787AD2">
              <w:rPr>
                <w:color w:val="FF0000"/>
                <w:sz w:val="24"/>
                <w:szCs w:val="24"/>
                <w:lang w:eastAsia="cs-CZ"/>
              </w:rPr>
              <w:t>122 354,09</w:t>
            </w:r>
          </w:p>
        </w:tc>
      </w:tr>
      <w:tr w:rsidR="00D6513E" w:rsidRPr="003E0EAF" w:rsidTr="00787AD2">
        <w:trPr>
          <w:cnfStyle w:val="010000000000"/>
          <w:trHeight w:val="300"/>
          <w:jc w:val="center"/>
        </w:trPr>
        <w:tc>
          <w:tcPr>
            <w:cnfStyle w:val="001000000000"/>
            <w:tcW w:w="1330" w:type="dxa"/>
            <w:noWrap/>
            <w:vAlign w:val="center"/>
            <w:hideMark/>
          </w:tcPr>
          <w:p w:rsidR="00D6513E" w:rsidRPr="00787AD2" w:rsidRDefault="00D6513E" w:rsidP="00787AD2">
            <w:pPr>
              <w:spacing w:line="276" w:lineRule="auto"/>
              <w:jc w:val="center"/>
              <w:rPr>
                <w:b w:val="0"/>
                <w:color w:val="000000"/>
                <w:sz w:val="24"/>
                <w:szCs w:val="24"/>
                <w:lang w:eastAsia="cs-CZ"/>
              </w:rPr>
            </w:pPr>
          </w:p>
        </w:tc>
        <w:tc>
          <w:tcPr>
            <w:tcW w:w="1597" w:type="dxa"/>
            <w:noWrap/>
            <w:vAlign w:val="center"/>
            <w:hideMark/>
          </w:tcPr>
          <w:p w:rsidR="00D6513E" w:rsidRPr="00787AD2" w:rsidRDefault="00D6513E" w:rsidP="00787AD2">
            <w:pPr>
              <w:spacing w:line="276" w:lineRule="auto"/>
              <w:jc w:val="center"/>
              <w:cnfStyle w:val="010000000000"/>
              <w:rPr>
                <w:color w:val="000000"/>
                <w:sz w:val="24"/>
                <w:szCs w:val="24"/>
                <w:lang w:eastAsia="cs-CZ"/>
              </w:rPr>
            </w:pPr>
          </w:p>
        </w:tc>
        <w:tc>
          <w:tcPr>
            <w:tcW w:w="2076" w:type="dxa"/>
            <w:noWrap/>
            <w:vAlign w:val="center"/>
            <w:hideMark/>
          </w:tcPr>
          <w:p w:rsidR="00D6513E" w:rsidRPr="00787AD2" w:rsidRDefault="00D6513E" w:rsidP="00787AD2">
            <w:pPr>
              <w:spacing w:line="276" w:lineRule="auto"/>
              <w:jc w:val="center"/>
              <w:cnfStyle w:val="010000000000"/>
              <w:rPr>
                <w:color w:val="000000"/>
                <w:sz w:val="24"/>
                <w:szCs w:val="24"/>
                <w:lang w:eastAsia="cs-CZ"/>
              </w:rPr>
            </w:pPr>
          </w:p>
        </w:tc>
        <w:tc>
          <w:tcPr>
            <w:tcW w:w="1582" w:type="dxa"/>
            <w:noWrap/>
            <w:vAlign w:val="center"/>
            <w:hideMark/>
          </w:tcPr>
          <w:p w:rsidR="00D6513E" w:rsidRPr="00787AD2" w:rsidRDefault="00D6513E" w:rsidP="00787AD2">
            <w:pPr>
              <w:spacing w:line="276" w:lineRule="auto"/>
              <w:jc w:val="center"/>
              <w:cnfStyle w:val="010000000000"/>
              <w:rPr>
                <w:color w:val="000000"/>
                <w:sz w:val="24"/>
                <w:szCs w:val="24"/>
                <w:lang w:eastAsia="cs-CZ"/>
              </w:rPr>
            </w:pPr>
          </w:p>
        </w:tc>
        <w:tc>
          <w:tcPr>
            <w:tcW w:w="1579" w:type="dxa"/>
            <w:noWrap/>
            <w:vAlign w:val="center"/>
            <w:hideMark/>
          </w:tcPr>
          <w:p w:rsidR="00D6513E" w:rsidRPr="00787AD2" w:rsidRDefault="00D6513E" w:rsidP="00787AD2">
            <w:pPr>
              <w:spacing w:line="276" w:lineRule="auto"/>
              <w:jc w:val="center"/>
              <w:cnfStyle w:val="010000000000"/>
              <w:rPr>
                <w:color w:val="000000"/>
                <w:sz w:val="24"/>
                <w:szCs w:val="24"/>
                <w:lang w:eastAsia="cs-CZ"/>
              </w:rPr>
            </w:pPr>
            <w:r w:rsidRPr="00787AD2">
              <w:rPr>
                <w:color w:val="000000"/>
                <w:sz w:val="24"/>
                <w:szCs w:val="24"/>
                <w:lang w:eastAsia="cs-CZ"/>
              </w:rPr>
              <w:t>1 272 177,52</w:t>
            </w:r>
          </w:p>
        </w:tc>
      </w:tr>
    </w:tbl>
    <w:p w:rsidR="00BB09D2" w:rsidRDefault="00787AD2" w:rsidP="00787AD2">
      <w:pPr>
        <w:spacing w:before="240" w:line="276" w:lineRule="auto"/>
        <w:jc w:val="both"/>
        <w:rPr>
          <w:i/>
          <w:sz w:val="20"/>
        </w:rPr>
      </w:pPr>
      <w:r>
        <w:rPr>
          <w:i/>
          <w:sz w:val="20"/>
        </w:rPr>
        <w:t xml:space="preserve">Pramen: </w:t>
      </w:r>
      <w:r w:rsidR="00D6513E" w:rsidRPr="00787AD2">
        <w:rPr>
          <w:i/>
          <w:sz w:val="20"/>
        </w:rPr>
        <w:t>Vlastní zpracování</w:t>
      </w:r>
      <w:r w:rsidR="004E3B7B">
        <w:rPr>
          <w:i/>
          <w:sz w:val="20"/>
        </w:rPr>
        <w:t xml:space="preserve">. </w:t>
      </w:r>
    </w:p>
    <w:p w:rsidR="00D6513E" w:rsidRDefault="004E3B7B" w:rsidP="00787AD2">
      <w:pPr>
        <w:spacing w:after="240" w:line="276" w:lineRule="auto"/>
        <w:jc w:val="both"/>
        <w:rPr>
          <w:i/>
          <w:sz w:val="20"/>
        </w:rPr>
      </w:pPr>
      <w:r>
        <w:rPr>
          <w:i/>
          <w:sz w:val="20"/>
        </w:rPr>
        <w:t xml:space="preserve">Měnové kurzy jsou uvedeny v hodnotách EUR/USD. </w:t>
      </w:r>
      <w:r w:rsidR="00BB09D2">
        <w:rPr>
          <w:i/>
          <w:sz w:val="20"/>
        </w:rPr>
        <w:t>Peněžní platby</w:t>
      </w:r>
      <w:r>
        <w:rPr>
          <w:i/>
          <w:sz w:val="20"/>
        </w:rPr>
        <w:t xml:space="preserve"> jsou</w:t>
      </w:r>
      <w:r w:rsidR="00BB09D2">
        <w:rPr>
          <w:i/>
          <w:sz w:val="20"/>
        </w:rPr>
        <w:t xml:space="preserve"> uvedeny</w:t>
      </w:r>
      <w:r>
        <w:rPr>
          <w:i/>
          <w:sz w:val="20"/>
        </w:rPr>
        <w:t xml:space="preserve"> v dolarech.</w:t>
      </w:r>
    </w:p>
    <w:p w:rsidR="00787AD2" w:rsidRPr="00787AD2" w:rsidRDefault="00787AD2" w:rsidP="00787AD2">
      <w:pPr>
        <w:spacing w:before="240" w:after="240" w:line="276" w:lineRule="auto"/>
        <w:jc w:val="both"/>
      </w:pPr>
    </w:p>
    <w:p w:rsidR="00D6513E" w:rsidRPr="0089663A" w:rsidRDefault="00787AD2" w:rsidP="00787AD2">
      <w:pPr>
        <w:spacing w:before="240" w:after="240" w:line="276" w:lineRule="auto"/>
        <w:jc w:val="both"/>
      </w:pPr>
      <w:r>
        <w:t>Poslední sloupec Tabulky 7</w:t>
      </w:r>
      <w:r w:rsidR="00D6513E">
        <w:t xml:space="preserve"> vyjadřuje, zda se společnosti </w:t>
      </w:r>
      <w:r w:rsidR="00361DA1">
        <w:t>Delor</w:t>
      </w:r>
      <w:r w:rsidR="00D6513E">
        <w:t xml:space="preserve"> vyplatilo sjednat daný forwardový kontrakt</w:t>
      </w:r>
      <w:r>
        <w:t xml:space="preserve"> či nikoli</w:t>
      </w:r>
      <w:r w:rsidR="00D6513E">
        <w:t>. Situace, kdy by bylo pro společnost výhodnější směnit svou</w:t>
      </w:r>
      <w:r w:rsidR="00BB09D2">
        <w:t> </w:t>
      </w:r>
      <w:r w:rsidR="00D6513E">
        <w:t xml:space="preserve">hotovost eur na spotovém trhu, je vyjádřena červenými čísly. Lze vidět, že ve čtyřech případech se společnosti sjednání forwardu nevyplatilo. S dobou splatnosti </w:t>
      </w:r>
      <w:r>
        <w:t xml:space="preserve">forwardu </w:t>
      </w:r>
      <w:r w:rsidR="00D6513E">
        <w:t>roste i</w:t>
      </w:r>
      <w:r>
        <w:t xml:space="preserve"> jeho </w:t>
      </w:r>
      <w:r w:rsidR="00DC4152">
        <w:t>forwardový kurz</w:t>
      </w:r>
      <w:r w:rsidR="00D6513E">
        <w:t>. Proto lze očekávat, že pokud nedojde k</w:t>
      </w:r>
      <w:r>
        <w:t xml:space="preserve"> dlouhodobému </w:t>
      </w:r>
      <w:r w:rsidR="00D6513E">
        <w:t xml:space="preserve">růstu měnového kurzu do budoucna, mohou být forwardy s dlouhou dobou do splatnosti </w:t>
      </w:r>
      <w:r w:rsidR="00DC4152">
        <w:t xml:space="preserve">díky svému vysokému kurzu </w:t>
      </w:r>
      <w:r w:rsidR="00D6513E">
        <w:t>nevýho</w:t>
      </w:r>
      <w:r>
        <w:t>dné.</w:t>
      </w:r>
    </w:p>
    <w:p w:rsidR="00D6513E" w:rsidRDefault="00D6513E" w:rsidP="00D6513E">
      <w:pPr>
        <w:spacing w:after="240" w:line="276" w:lineRule="auto"/>
        <w:jc w:val="both"/>
      </w:pPr>
      <w:r>
        <w:t xml:space="preserve">Celková suma, kterou společnost </w:t>
      </w:r>
      <w:r w:rsidR="00361DA1">
        <w:t>Delor</w:t>
      </w:r>
      <w:r>
        <w:t xml:space="preserve"> díky zajištění prostřednictvím deseti forwardů vydělala v porovnání se spotovým trhem je rovna 42 364,22 </w:t>
      </w:r>
      <w:r w:rsidR="00447807">
        <w:t>USD</w:t>
      </w:r>
      <w:r>
        <w:t>. Jinak se dá také říct, že by společnost v případě nezajištění zaplatila na spotovém trhu více o velikost této sumy. Celkově spol</w:t>
      </w:r>
      <w:r w:rsidR="00C94046">
        <w:t xml:space="preserve">ečnost </w:t>
      </w:r>
      <w:r w:rsidR="00361DA1">
        <w:t>Delor</w:t>
      </w:r>
      <w:r w:rsidR="00C94046">
        <w:t xml:space="preserve"> za směnu 100 000 </w:t>
      </w:r>
      <w:r w:rsidR="00447807">
        <w:t>EUR</w:t>
      </w:r>
      <w:r>
        <w:t xml:space="preserve"> v deseti po sobě jdoucích období obdržela 1 272 177,52</w:t>
      </w:r>
      <w:r w:rsidR="00DC1E2D">
        <w:t> </w:t>
      </w:r>
      <w:r w:rsidR="00447807">
        <w:t>USD</w:t>
      </w:r>
      <w:r>
        <w:t>.</w:t>
      </w:r>
    </w:p>
    <w:p w:rsidR="00D6513E" w:rsidRDefault="00D6513E" w:rsidP="00D6513E">
      <w:pPr>
        <w:spacing w:after="240" w:line="276" w:lineRule="auto"/>
        <w:jc w:val="both"/>
      </w:pPr>
      <w:r>
        <w:t>Směna eur prostřednictvím měnových forwardů pouze v jednom případě pokry</w:t>
      </w:r>
      <w:r w:rsidR="00C94046">
        <w:t>la velikost jedné splátky úvěru –</w:t>
      </w:r>
      <w:r>
        <w:t xml:space="preserve"> pouze u forwardu s nejbližší dobou splatnosti. S rostoucí dobou do</w:t>
      </w:r>
      <w:r w:rsidR="00C94046">
        <w:t> </w:t>
      </w:r>
      <w:r>
        <w:t>splatnosti roste i forwardový kurz, a proto lze tento výsledek očekávat.</w:t>
      </w:r>
      <w:r w:rsidR="00C94046">
        <w:t xml:space="preserve"> I pro </w:t>
      </w:r>
      <w:r w:rsidR="00BB09D2">
        <w:t xml:space="preserve">následující </w:t>
      </w:r>
      <w:r w:rsidR="00C94046">
        <w:t>výsledky p</w:t>
      </w:r>
      <w:r>
        <w:t xml:space="preserve">ředpokládejme, že </w:t>
      </w:r>
      <w:r w:rsidR="00C94046">
        <w:t xml:space="preserve">je společnost </w:t>
      </w:r>
      <w:r w:rsidR="00361DA1">
        <w:t>Delor</w:t>
      </w:r>
      <w:r>
        <w:t xml:space="preserve"> připravena daný rozdíl doplatit</w:t>
      </w:r>
      <w:r w:rsidR="00C94046">
        <w:t xml:space="preserve"> finančními prostředky ze své podnikatelské činnosti</w:t>
      </w:r>
      <w:r>
        <w:t>.</w:t>
      </w:r>
    </w:p>
    <w:p w:rsidR="00D6513E" w:rsidRDefault="00D6513E" w:rsidP="00D6513E">
      <w:pPr>
        <w:spacing w:after="240" w:line="276" w:lineRule="auto"/>
        <w:jc w:val="both"/>
        <w:rPr>
          <w:color w:val="00B050"/>
        </w:rPr>
      </w:pPr>
    </w:p>
    <w:p w:rsidR="00C94046" w:rsidRDefault="00C94046">
      <w:pPr>
        <w:suppressAutoHyphens w:val="0"/>
        <w:spacing w:after="200" w:line="276" w:lineRule="auto"/>
        <w:rPr>
          <w:rFonts w:eastAsiaTheme="majorEastAsia" w:cstheme="majorBidi"/>
          <w:b/>
          <w:bCs/>
        </w:rPr>
      </w:pPr>
      <w:r>
        <w:br w:type="page"/>
      </w:r>
    </w:p>
    <w:p w:rsidR="00D6513E" w:rsidRDefault="00D6513E" w:rsidP="00D6513E">
      <w:pPr>
        <w:pStyle w:val="Nadpis3"/>
        <w:suppressAutoHyphens w:val="0"/>
      </w:pPr>
      <w:bookmarkStart w:id="90" w:name="_Toc354393077"/>
      <w:r>
        <w:lastRenderedPageBreak/>
        <w:t xml:space="preserve">Zajištění pomocí </w:t>
      </w:r>
      <w:r w:rsidR="00BB09D2">
        <w:t>měnových</w:t>
      </w:r>
      <w:r>
        <w:t xml:space="preserve"> futures</w:t>
      </w:r>
      <w:bookmarkEnd w:id="90"/>
    </w:p>
    <w:p w:rsidR="00D6513E" w:rsidRDefault="00D6513E" w:rsidP="00D6513E">
      <w:pPr>
        <w:spacing w:after="240" w:line="276" w:lineRule="auto"/>
        <w:jc w:val="both"/>
      </w:pPr>
      <w:r>
        <w:t>Lze tvrdit, že zajištění měnového rizika pomocí futures nebude optimální volbou. Všechny podmínky futures</w:t>
      </w:r>
      <w:r w:rsidR="007223E6">
        <w:t xml:space="preserve"> kontraktů</w:t>
      </w:r>
      <w:r>
        <w:t xml:space="preserve"> jsou standardizovány burzou, na které se tyto kontrakty obchodují. Je proto velmi složité, ba přímo nemožné, najít takové kontrakty, které by zcela vyhovovaly konkrétním potřebám společnosti </w:t>
      </w:r>
      <w:r w:rsidR="00361DA1">
        <w:t>Delor</w:t>
      </w:r>
      <w:r>
        <w:t>.</w:t>
      </w:r>
    </w:p>
    <w:p w:rsidR="00D6513E" w:rsidRDefault="00D6513E" w:rsidP="00D6513E">
      <w:pPr>
        <w:spacing w:after="240" w:line="276" w:lineRule="auto"/>
        <w:jc w:val="both"/>
      </w:pPr>
      <w:r>
        <w:t>Jedním z problémů je standardizace doby splatnosti futures kontraktů. Na burzách bývají jako</w:t>
      </w:r>
      <w:r w:rsidR="00BB09D2">
        <w:t> </w:t>
      </w:r>
      <w:r>
        <w:t>dny splatnosti stanoveny často pouze čtyři termíny v roce. Příkladem mohou být termíny splatnosti stanovené burzou NYSE Euronext, kterými jsou třetí pátky v měsících březen, červen, září a prosinec.</w:t>
      </w:r>
      <w:r>
        <w:rPr>
          <w:rStyle w:val="Znakapoznpodarou"/>
          <w:rFonts w:eastAsiaTheme="majorEastAsia"/>
        </w:rPr>
        <w:footnoteReference w:id="119"/>
      </w:r>
      <w:r>
        <w:t xml:space="preserve"> Společnost </w:t>
      </w:r>
      <w:r w:rsidR="00361DA1">
        <w:t>Delor</w:t>
      </w:r>
      <w:r>
        <w:t xml:space="preserve"> potřebuje zajist</w:t>
      </w:r>
      <w:r w:rsidR="00C55EB2">
        <w:t>it měnové kurzy vždy k datům 7. 2. a 7. </w:t>
      </w:r>
      <w:r>
        <w:t xml:space="preserve">8. každého roku, po dobu pěti let (ode dne 7. 2. 2013). </w:t>
      </w:r>
      <w:r w:rsidR="00C55EB2">
        <w:t>S</w:t>
      </w:r>
      <w:r>
        <w:t xml:space="preserve">polečnost </w:t>
      </w:r>
      <w:r w:rsidR="00361DA1">
        <w:t>Delor</w:t>
      </w:r>
      <w:r>
        <w:t xml:space="preserve"> </w:t>
      </w:r>
      <w:r w:rsidR="00C55EB2">
        <w:t xml:space="preserve">bude </w:t>
      </w:r>
      <w:r>
        <w:t xml:space="preserve">obchodovat na </w:t>
      </w:r>
      <w:r w:rsidR="00C55EB2">
        <w:t xml:space="preserve">derivátové </w:t>
      </w:r>
      <w:r>
        <w:t xml:space="preserve">burze NYSE Euronext. </w:t>
      </w:r>
      <w:r w:rsidR="00C55EB2">
        <w:t xml:space="preserve">Dle zásady výběru nejbližšího, avšak pozdějšího data splatnosti </w:t>
      </w:r>
      <w:r w:rsidR="00DC4152">
        <w:t xml:space="preserve">futures </w:t>
      </w:r>
      <w:r w:rsidR="00C55EB2">
        <w:t xml:space="preserve">kontraktu </w:t>
      </w:r>
      <w:r w:rsidR="00DC4152">
        <w:t>vzhledem k</w:t>
      </w:r>
      <w:r w:rsidR="00C55EB2">
        <w:t xml:space="preserve"> datu požadovaného zajištění, bude </w:t>
      </w:r>
      <w:r w:rsidR="00361DA1">
        <w:t>Delor</w:t>
      </w:r>
      <w:r w:rsidR="00C55EB2">
        <w:t xml:space="preserve"> obchodovat </w:t>
      </w:r>
      <w:r>
        <w:t>futures kontrakty se</w:t>
      </w:r>
      <w:r w:rsidR="00C55EB2">
        <w:t> </w:t>
      </w:r>
      <w:r>
        <w:t>splatností v březnu a září. Konkrétní postup, jakým se</w:t>
      </w:r>
      <w:r w:rsidR="00BB09D2">
        <w:t> </w:t>
      </w:r>
      <w:r>
        <w:t xml:space="preserve">bude společnost </w:t>
      </w:r>
      <w:r w:rsidR="00C55EB2">
        <w:t>řídit</w:t>
      </w:r>
      <w:r>
        <w:t xml:space="preserve"> v době splatnosti splátky úvěru, tedy v době, kdy </w:t>
      </w:r>
      <w:r w:rsidR="00DC4152">
        <w:t xml:space="preserve">bude </w:t>
      </w:r>
      <w:r w:rsidR="00361DA1">
        <w:t>Delor</w:t>
      </w:r>
      <w:r w:rsidR="00DC4152">
        <w:t xml:space="preserve"> potřebovat</w:t>
      </w:r>
      <w:r>
        <w:t xml:space="preserve"> hotovost v dolarech, </w:t>
      </w:r>
      <w:r w:rsidR="00DC4152">
        <w:t xml:space="preserve">je uvedeno níže </w:t>
      </w:r>
      <w:r>
        <w:t>v tomto textu.</w:t>
      </w:r>
    </w:p>
    <w:p w:rsidR="00D6513E" w:rsidRDefault="00D6513E" w:rsidP="00D6513E">
      <w:pPr>
        <w:spacing w:after="240" w:line="276" w:lineRule="auto"/>
        <w:jc w:val="both"/>
      </w:pPr>
      <w:r>
        <w:t xml:space="preserve">Dalším problémem </w:t>
      </w:r>
      <w:r w:rsidR="00C55EB2">
        <w:t xml:space="preserve">obchodování s futures </w:t>
      </w:r>
      <w:r>
        <w:t xml:space="preserve">je </w:t>
      </w:r>
      <w:r w:rsidR="00C55EB2">
        <w:t>často t</w:t>
      </w:r>
      <w:r>
        <w:t>aké standardizace velikosti kontraktu. Na</w:t>
      </w:r>
      <w:r w:rsidR="00C55EB2">
        <w:t> </w:t>
      </w:r>
      <w:r>
        <w:t>burze</w:t>
      </w:r>
      <w:r w:rsidR="00C55EB2">
        <w:t xml:space="preserve"> NYSE Euronext</w:t>
      </w:r>
      <w:r>
        <w:t xml:space="preserve"> je velikost jednoh</w:t>
      </w:r>
      <w:r w:rsidR="00C55EB2">
        <w:t>o kontraktu stanovena na 20 000 </w:t>
      </w:r>
      <w:r w:rsidR="00447807">
        <w:t>EUR</w:t>
      </w:r>
      <w:r>
        <w:t>.</w:t>
      </w:r>
      <w:r>
        <w:rPr>
          <w:rStyle w:val="Znakapoznpodarou"/>
          <w:rFonts w:eastAsiaTheme="majorEastAsia"/>
        </w:rPr>
        <w:footnoteReference w:id="120"/>
      </w:r>
      <w:r>
        <w:t xml:space="preserve"> V konkrétním případě společnosti </w:t>
      </w:r>
      <w:r w:rsidR="00361DA1">
        <w:t>Delor</w:t>
      </w:r>
      <w:r>
        <w:t xml:space="preserve"> tak touto standardizací nevzniká problém. Požadované směňované množství je rovno 100</w:t>
      </w:r>
      <w:r w:rsidR="00C55EB2">
        <w:t> </w:t>
      </w:r>
      <w:r>
        <w:t>000</w:t>
      </w:r>
      <w:r w:rsidR="00C55EB2">
        <w:t> </w:t>
      </w:r>
      <w:r w:rsidR="00447807">
        <w:t>EUR</w:t>
      </w:r>
      <w:r>
        <w:t>. Společnost tedy sjedná celkem 5</w:t>
      </w:r>
      <w:r w:rsidR="00DC4152">
        <w:t> kontraktů. S</w:t>
      </w:r>
      <w:r w:rsidR="00C55EB2">
        <w:t>e sjednáním</w:t>
      </w:r>
      <w:r>
        <w:t xml:space="preserve"> futures kontraktu je spojena platba počáteční marže. NYSE</w:t>
      </w:r>
      <w:r w:rsidR="00C55EB2">
        <w:t> </w:t>
      </w:r>
      <w:r>
        <w:t>Euronext požaduje složit počáteční marži ve výši 800 </w:t>
      </w:r>
      <w:r w:rsidR="00447807">
        <w:t>EUR</w:t>
      </w:r>
      <w:r>
        <w:t>.</w:t>
      </w:r>
      <w:r>
        <w:rPr>
          <w:rStyle w:val="Znakapoznpodarou"/>
          <w:rFonts w:eastAsiaTheme="majorEastAsia"/>
        </w:rPr>
        <w:footnoteReference w:id="121"/>
      </w:r>
      <w:r>
        <w:t xml:space="preserve"> Počáteční marže se platí u</w:t>
      </w:r>
      <w:r w:rsidR="00C55EB2">
        <w:t> </w:t>
      </w:r>
      <w:r>
        <w:t xml:space="preserve">každého sjednaného kontraktu. Společnost </w:t>
      </w:r>
      <w:r w:rsidR="00361DA1">
        <w:t>Delor</w:t>
      </w:r>
      <w:r w:rsidR="00DC4152">
        <w:t xml:space="preserve"> proto</w:t>
      </w:r>
      <w:r>
        <w:t xml:space="preserve"> musí celkem zaplatit 4 000 </w:t>
      </w:r>
      <w:r w:rsidR="00447807">
        <w:t>EUR</w:t>
      </w:r>
      <w:r>
        <w:t xml:space="preserve"> na</w:t>
      </w:r>
      <w:r w:rsidR="00C55EB2">
        <w:t> </w:t>
      </w:r>
      <w:r>
        <w:t>maržový účet. Předpokládejme, že společnos</w:t>
      </w:r>
      <w:r w:rsidR="00C55EB2">
        <w:t xml:space="preserve">t touto sumou disponuje, a je tedy </w:t>
      </w:r>
      <w:r>
        <w:t>schopná požadovaný počet futures kontraktů sjednat.</w:t>
      </w:r>
    </w:p>
    <w:p w:rsidR="00D6513E" w:rsidRDefault="00D6513E" w:rsidP="00D6513E">
      <w:pPr>
        <w:spacing w:after="240" w:line="276" w:lineRule="auto"/>
        <w:jc w:val="both"/>
      </w:pPr>
      <w:r>
        <w:t xml:space="preserve">V následujícím textu </w:t>
      </w:r>
      <w:r w:rsidR="00DC4152">
        <w:t xml:space="preserve">bude </w:t>
      </w:r>
      <w:r w:rsidR="00C55EB2">
        <w:t xml:space="preserve">nejdříve </w:t>
      </w:r>
      <w:r w:rsidR="00DC4152">
        <w:t>objasněno</w:t>
      </w:r>
      <w:r>
        <w:t xml:space="preserve">, jak bude společnost </w:t>
      </w:r>
      <w:r w:rsidR="00361DA1">
        <w:t>Delor</w:t>
      </w:r>
      <w:r w:rsidR="00C55EB2">
        <w:t xml:space="preserve"> </w:t>
      </w:r>
      <w:r>
        <w:t xml:space="preserve">postupovat v případě prvního „zajišťovacího“ období. Konkrétně </w:t>
      </w:r>
      <w:r w:rsidR="00DC4152">
        <w:t>se jedná o období od 7. </w:t>
      </w:r>
      <w:r>
        <w:t>2.</w:t>
      </w:r>
      <w:r w:rsidR="00DC4152">
        <w:t> </w:t>
      </w:r>
      <w:r>
        <w:t>2013 do</w:t>
      </w:r>
      <w:r w:rsidR="00DC4152">
        <w:t> </w:t>
      </w:r>
      <w:r>
        <w:t>7.</w:t>
      </w:r>
      <w:r w:rsidR="00DC4152">
        <w:t> </w:t>
      </w:r>
      <w:r>
        <w:t>8.</w:t>
      </w:r>
      <w:r w:rsidR="00DC4152">
        <w:t> </w:t>
      </w:r>
      <w:r>
        <w:t>2013, respektive do konce doby splatnosti sjednaného futures kontraktu.</w:t>
      </w:r>
    </w:p>
    <w:p w:rsidR="00C55EB2" w:rsidRDefault="00C55EB2" w:rsidP="00D6513E">
      <w:pPr>
        <w:spacing w:after="240" w:line="276" w:lineRule="auto"/>
        <w:jc w:val="both"/>
      </w:pPr>
    </w:p>
    <w:p w:rsidR="001F3E1C" w:rsidRDefault="001F3E1C">
      <w:pPr>
        <w:suppressAutoHyphens w:val="0"/>
        <w:spacing w:after="200" w:line="276" w:lineRule="auto"/>
        <w:rPr>
          <w:rFonts w:eastAsiaTheme="minorHAnsi"/>
          <w:b/>
          <w:szCs w:val="22"/>
          <w:lang w:eastAsia="en-US"/>
        </w:rPr>
      </w:pPr>
      <w:r>
        <w:rPr>
          <w:b/>
        </w:rPr>
        <w:br w:type="page"/>
      </w:r>
    </w:p>
    <w:p w:rsidR="00D6513E" w:rsidRPr="00C55EB2" w:rsidRDefault="00D6513E" w:rsidP="00D6513E">
      <w:pPr>
        <w:pStyle w:val="Odstavecseseznamem"/>
        <w:numPr>
          <w:ilvl w:val="0"/>
          <w:numId w:val="22"/>
        </w:numPr>
        <w:spacing w:after="240"/>
        <w:jc w:val="both"/>
        <w:rPr>
          <w:rFonts w:ascii="Times New Roman" w:hAnsi="Times New Roman" w:cs="Times New Roman"/>
          <w:b/>
          <w:sz w:val="24"/>
        </w:rPr>
      </w:pPr>
      <w:r w:rsidRPr="00C55EB2">
        <w:rPr>
          <w:rFonts w:ascii="Times New Roman" w:hAnsi="Times New Roman" w:cs="Times New Roman"/>
          <w:b/>
          <w:sz w:val="24"/>
        </w:rPr>
        <w:lastRenderedPageBreak/>
        <w:t>Postup společnosti v období od 7. 2. 2013 do 7. 8. 2013</w:t>
      </w:r>
    </w:p>
    <w:p w:rsidR="00D6513E" w:rsidRDefault="00D6513E" w:rsidP="00D6513E">
      <w:pPr>
        <w:spacing w:after="240" w:line="276" w:lineRule="auto"/>
        <w:jc w:val="both"/>
      </w:pPr>
      <w:r>
        <w:t xml:space="preserve">Společnost </w:t>
      </w:r>
      <w:r w:rsidR="00361DA1">
        <w:t>Delor</w:t>
      </w:r>
      <w:r>
        <w:t xml:space="preserve"> </w:t>
      </w:r>
      <w:r w:rsidR="00DC4152">
        <w:t>prodává eura. P</w:t>
      </w:r>
      <w:r>
        <w:t xml:space="preserve">otřebuje </w:t>
      </w:r>
      <w:r w:rsidR="00DC4152">
        <w:t xml:space="preserve">tedy </w:t>
      </w:r>
      <w:r>
        <w:t>sjednat takový futures kontrakt, u kterého směnou za sumu v eurech získá hodnotu v amerických dolarech. Je nutné, aby</w:t>
      </w:r>
      <w:r w:rsidR="00BB17F2">
        <w:t> </w:t>
      </w:r>
      <w:r>
        <w:t>společnost prodávala futures kontrakty.</w:t>
      </w:r>
    </w:p>
    <w:p w:rsidR="00D6513E" w:rsidRDefault="00BB17F2" w:rsidP="00D6513E">
      <w:pPr>
        <w:spacing w:after="240" w:line="276" w:lineRule="auto"/>
        <w:jc w:val="both"/>
      </w:pPr>
      <w:r>
        <w:t>Dne 7. 2. </w:t>
      </w:r>
      <w:r w:rsidR="00D6513E">
        <w:t xml:space="preserve">2013 společnost prodá na burze s ohledem na standardizované množství kontraktu celkem pět futures kontraktů na měnový pár EUR/USD. </w:t>
      </w:r>
      <w:r>
        <w:t>Potřebuje se zajistit k datu 7. 8. </w:t>
      </w:r>
      <w:r w:rsidR="00D6513E">
        <w:t>2013, zajišťuje se tedy na půl roku. Předpokládejme, že na trhu bude 7. 2. 2013 možno prodat takový futures kontrakt, který má splatnost třetí pátek v </w:t>
      </w:r>
      <w:r>
        <w:t>měsíci září, konkrétně 20. </w:t>
      </w:r>
      <w:r w:rsidR="00D6513E">
        <w:t>9.</w:t>
      </w:r>
      <w:r>
        <w:t> </w:t>
      </w:r>
      <w:r w:rsidR="00DC4152">
        <w:t>2013.</w:t>
      </w:r>
    </w:p>
    <w:p w:rsidR="00D6513E" w:rsidRDefault="00D6513E" w:rsidP="00D6513E">
      <w:pPr>
        <w:spacing w:after="240" w:line="276" w:lineRule="auto"/>
        <w:jc w:val="both"/>
      </w:pPr>
      <w:r>
        <w:t xml:space="preserve">Spravedlivý kurz měnového futures lze spočítat pomocí stejného vzorce, který </w:t>
      </w:r>
      <w:r w:rsidR="00DC4152">
        <w:t>byl použit</w:t>
      </w:r>
      <w:r>
        <w:t xml:space="preserve"> pro výpočet kurzu měnového forwardu. Při výpočtu očekávaného kurzu futures kontraktu tedy </w:t>
      </w:r>
      <w:r w:rsidR="00DC4152">
        <w:t>lze</w:t>
      </w:r>
      <w:r>
        <w:t xml:space="preserve"> použít vzorec: </w:t>
      </w:r>
    </w:p>
    <w:p w:rsidR="00D6513E" w:rsidRDefault="00FA567C" w:rsidP="00D6513E">
      <w:pPr>
        <w:spacing w:after="240" w:line="276" w:lineRule="auto"/>
        <w:jc w:val="both"/>
      </w:pPr>
      <m:oMathPara>
        <m:oMath>
          <m:sSup>
            <m:sSupPr>
              <m:ctrlPr>
                <w:rPr>
                  <w:rFonts w:ascii="Cambria Math" w:hAnsi="Cambria Math"/>
                  <w:i/>
                </w:rPr>
              </m:ctrlPr>
            </m:sSupPr>
            <m:e>
              <m:r>
                <w:rPr>
                  <w:rFonts w:ascii="Cambria Math" w:hAnsi="Cambria Math"/>
                </w:rPr>
                <m:t>F</m:t>
              </m:r>
            </m:e>
            <m:sup>
              <m:r>
                <w:rPr>
                  <w:rFonts w:ascii="Cambria Math" w:hAnsi="Cambria Math"/>
                </w:rPr>
                <m:t>P</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P</m:t>
                  </m:r>
                </m:sup>
              </m:sSup>
              <m:r>
                <w:rPr>
                  <w:rFonts w:ascii="Cambria Math" w:hAnsi="Cambria Math"/>
                </w:rPr>
                <m:t>*(1+</m:t>
              </m:r>
              <m:sSubSup>
                <m:sSubSupPr>
                  <m:ctrlPr>
                    <w:rPr>
                      <w:rFonts w:ascii="Cambria Math" w:hAnsi="Cambria Math"/>
                      <w:i/>
                    </w:rPr>
                  </m:ctrlPr>
                </m:sSubSupPr>
                <m:e>
                  <m:r>
                    <w:rPr>
                      <w:rFonts w:ascii="Cambria Math" w:hAnsi="Cambria Math"/>
                    </w:rPr>
                    <m:t>i</m:t>
                  </m:r>
                </m:e>
                <m:sub>
                  <m:r>
                    <w:rPr>
                      <w:rFonts w:ascii="Cambria Math" w:hAnsi="Cambria Math"/>
                    </w:rPr>
                    <m:t>DM</m:t>
                  </m:r>
                </m:sub>
                <m:sup>
                  <m:r>
                    <w:rPr>
                      <w:rFonts w:ascii="Cambria Math" w:hAnsi="Cambria Math"/>
                    </w:rPr>
                    <m:t>P</m:t>
                  </m:r>
                </m:sup>
              </m:sSubSup>
              <m:r>
                <w:rPr>
                  <w:rFonts w:ascii="Cambria Math" w:hAnsi="Cambria Math"/>
                </w:rPr>
                <m:t>*t)</m:t>
              </m:r>
            </m:num>
            <m:den>
              <m:r>
                <w:rPr>
                  <w:rFonts w:ascii="Cambria Math" w:hAnsi="Cambria Math"/>
                </w:rPr>
                <m:t>(1+</m:t>
              </m:r>
              <m:sSubSup>
                <m:sSubSupPr>
                  <m:ctrlPr>
                    <w:rPr>
                      <w:rFonts w:ascii="Cambria Math" w:hAnsi="Cambria Math"/>
                      <w:i/>
                    </w:rPr>
                  </m:ctrlPr>
                </m:sSubSupPr>
                <m:e>
                  <m:r>
                    <w:rPr>
                      <w:rFonts w:ascii="Cambria Math" w:hAnsi="Cambria Math"/>
                    </w:rPr>
                    <m:t>i</m:t>
                  </m:r>
                </m:e>
                <m:sub>
                  <m:r>
                    <w:rPr>
                      <w:rFonts w:ascii="Cambria Math" w:hAnsi="Cambria Math"/>
                    </w:rPr>
                    <m:t>CM</m:t>
                  </m:r>
                </m:sub>
                <m:sup>
                  <m:r>
                    <w:rPr>
                      <w:rFonts w:ascii="Cambria Math" w:hAnsi="Cambria Math"/>
                    </w:rPr>
                    <m:t>N</m:t>
                  </m:r>
                </m:sup>
              </m:sSubSup>
              <m:r>
                <w:rPr>
                  <w:rFonts w:ascii="Cambria Math" w:hAnsi="Cambria Math"/>
                </w:rPr>
                <m:t>+t)</m:t>
              </m:r>
            </m:den>
          </m:f>
        </m:oMath>
      </m:oMathPara>
    </w:p>
    <w:p w:rsidR="00D6513E" w:rsidRDefault="00D6513E" w:rsidP="00D6513E">
      <w:pPr>
        <w:spacing w:after="240" w:line="276" w:lineRule="auto"/>
        <w:jc w:val="both"/>
      </w:pPr>
      <w:r>
        <w:t>V porovnání s výpočtem forwardového kurzu zůstávají stejné všechny hodn</w:t>
      </w:r>
      <w:r w:rsidR="00BB17F2">
        <w:t xml:space="preserve">oty, </w:t>
      </w:r>
      <w:r w:rsidR="00DC4152">
        <w:t xml:space="preserve">s výjimkou </w:t>
      </w:r>
      <w:r w:rsidR="00BB17F2">
        <w:t>proměnné času. Od 7. 2. 2013 do 20. 9. </w:t>
      </w:r>
      <w:r>
        <w:t>2013 uběhne celkem 225 dní.</w:t>
      </w:r>
    </w:p>
    <w:p w:rsidR="00D6513E" w:rsidRDefault="00FA567C" w:rsidP="00D6513E">
      <w:pPr>
        <w:spacing w:after="240" w:line="276" w:lineRule="auto"/>
        <w:jc w:val="both"/>
        <w:rPr>
          <w:rFonts w:eastAsiaTheme="minorEastAsia"/>
        </w:rPr>
      </w:pPr>
      <m:oMathPara>
        <m:oMath>
          <m:sSup>
            <m:sSupPr>
              <m:ctrlPr>
                <w:rPr>
                  <w:rFonts w:ascii="Cambria Math" w:hAnsi="Angsana New" w:cs="Angsana New"/>
                  <w:i/>
                </w:rPr>
              </m:ctrlPr>
            </m:sSupPr>
            <m:e>
              <m:r>
                <w:rPr>
                  <w:rFonts w:ascii="Cambria Math" w:hAnsi="Cambria Math" w:cs="Angsana New"/>
                </w:rPr>
                <m:t>F</m:t>
              </m:r>
            </m:e>
            <m:sup>
              <m:r>
                <w:rPr>
                  <w:rFonts w:ascii="Cambria Math" w:hAnsi="Cambria Math" w:cs="Angsana New"/>
                </w:rPr>
                <m:t>P</m:t>
              </m:r>
            </m:sup>
          </m:sSup>
          <m:r>
            <w:rPr>
              <w:rFonts w:ascii="Cambria Math" w:hAnsi="Angsana New" w:cs="Angsana New"/>
            </w:rPr>
            <m:t>=</m:t>
          </m:r>
          <m:f>
            <m:fPr>
              <m:ctrlPr>
                <w:rPr>
                  <w:rFonts w:ascii="Cambria Math" w:hAnsi="Angsana New" w:cs="Angsana New"/>
                  <w:i/>
                </w:rPr>
              </m:ctrlPr>
            </m:fPr>
            <m:num>
              <m:r>
                <w:rPr>
                  <w:rFonts w:ascii="Cambria Math" w:hAnsi="Angsana New" w:cs="Angsana New"/>
                </w:rPr>
                <m:t>0,7464</m:t>
              </m:r>
              <m:r>
                <w:rPr>
                  <w:rFonts w:ascii="Cambria Math" w:hAnsi="Cambria Math" w:cs="Angsana New"/>
                </w:rPr>
                <m:t>*</m:t>
              </m:r>
              <m:r>
                <w:rPr>
                  <w:rFonts w:ascii="Cambria Math" w:hAnsi="Angsana New" w:cs="Angsana New"/>
                </w:rPr>
                <m:t>(1+0,042</m:t>
              </m:r>
              <m:r>
                <w:rPr>
                  <w:rFonts w:ascii="Cambria Math" w:hAnsi="Cambria Math" w:cs="Angsana New"/>
                </w:rPr>
                <m:t>*</m:t>
              </m:r>
              <m:f>
                <m:fPr>
                  <m:ctrlPr>
                    <w:rPr>
                      <w:rFonts w:ascii="Cambria Math" w:hAnsi="Angsana New" w:cs="Angsana New"/>
                      <w:i/>
                    </w:rPr>
                  </m:ctrlPr>
                </m:fPr>
                <m:num>
                  <m:r>
                    <w:rPr>
                      <w:rFonts w:ascii="Cambria Math" w:hAnsi="Angsana New" w:cs="Angsana New"/>
                    </w:rPr>
                    <m:t>225</m:t>
                  </m:r>
                </m:num>
                <m:den>
                  <m:r>
                    <w:rPr>
                      <w:rFonts w:ascii="Cambria Math" w:hAnsi="Angsana New" w:cs="Angsana New"/>
                    </w:rPr>
                    <m:t>360</m:t>
                  </m:r>
                </m:den>
              </m:f>
              <m:r>
                <w:rPr>
                  <w:rFonts w:ascii="Cambria Math" w:hAnsi="Angsana New" w:cs="Angsana New"/>
                </w:rPr>
                <m:t>)</m:t>
              </m:r>
            </m:num>
            <m:den>
              <m:r>
                <w:rPr>
                  <w:rFonts w:ascii="Cambria Math" w:hAnsi="Angsana New" w:cs="Angsana New"/>
                </w:rPr>
                <m:t>(1+0,021+</m:t>
              </m:r>
              <m:f>
                <m:fPr>
                  <m:ctrlPr>
                    <w:rPr>
                      <w:rFonts w:ascii="Cambria Math" w:hAnsi="Angsana New" w:cs="Angsana New"/>
                      <w:i/>
                    </w:rPr>
                  </m:ctrlPr>
                </m:fPr>
                <m:num>
                  <m:r>
                    <w:rPr>
                      <w:rFonts w:ascii="Cambria Math" w:hAnsi="Angsana New" w:cs="Angsana New"/>
                    </w:rPr>
                    <m:t>225</m:t>
                  </m:r>
                </m:num>
                <m:den>
                  <m:r>
                    <w:rPr>
                      <w:rFonts w:ascii="Cambria Math" w:hAnsi="Angsana New" w:cs="Angsana New"/>
                    </w:rPr>
                    <m:t>360</m:t>
                  </m:r>
                </m:den>
              </m:f>
              <m:r>
                <w:rPr>
                  <w:rFonts w:ascii="Cambria Math" w:hAnsi="Angsana New" w:cs="Angsana New"/>
                </w:rPr>
                <m:t>)</m:t>
              </m:r>
            </m:den>
          </m:f>
        </m:oMath>
      </m:oMathPara>
    </w:p>
    <w:p w:rsidR="00D6513E" w:rsidRDefault="00FA567C" w:rsidP="00D6513E">
      <w:pPr>
        <w:spacing w:after="240" w:line="276" w:lineRule="auto"/>
        <w:jc w:val="center"/>
      </w:pPr>
      <m:oMathPara>
        <m:oMath>
          <m:sSup>
            <m:sSupPr>
              <m:ctrlPr>
                <w:rPr>
                  <w:rFonts w:ascii="Cambria Math" w:hAnsi="Cambria Math"/>
                  <w:i/>
                </w:rPr>
              </m:ctrlPr>
            </m:sSupPr>
            <m:e>
              <m:r>
                <w:rPr>
                  <w:rFonts w:ascii="Cambria Math" w:hAnsi="Cambria Math"/>
                </w:rPr>
                <m:t>F</m:t>
              </m:r>
            </m:e>
            <m:sup>
              <m:r>
                <w:rPr>
                  <w:rFonts w:ascii="Cambria Math" w:hAnsi="Cambria Math"/>
                </w:rPr>
                <m:t>P</m:t>
              </m:r>
            </m:sup>
          </m:sSup>
          <m:r>
            <w:rPr>
              <w:rFonts w:ascii="Cambria Math"/>
            </w:rPr>
            <m:t>=0,7561</m:t>
          </m:r>
        </m:oMath>
      </m:oMathPara>
    </w:p>
    <w:p w:rsidR="004D0385" w:rsidRDefault="00D6513E" w:rsidP="00D6513E">
      <w:pPr>
        <w:spacing w:after="240" w:line="276" w:lineRule="auto"/>
        <w:jc w:val="both"/>
      </w:pPr>
      <w:r>
        <w:t>Spravedlivý</w:t>
      </w:r>
      <w:r w:rsidR="00BB17F2">
        <w:t xml:space="preserve"> kurz futures kontaktu je 0,7561 EUR/USD. Dne 20. 9. </w:t>
      </w:r>
      <w:r>
        <w:t>2013 tedy společnost za</w:t>
      </w:r>
      <w:r w:rsidR="00BB17F2">
        <w:t> prodej 100 000 </w:t>
      </w:r>
      <w:r w:rsidR="00447807">
        <w:t>EUR</w:t>
      </w:r>
      <w:r>
        <w:t xml:space="preserve"> získá celkem 132 </w:t>
      </w:r>
      <w:r w:rsidR="00BB17F2">
        <w:t>257</w:t>
      </w:r>
      <w:r>
        <w:t>,</w:t>
      </w:r>
      <w:r w:rsidR="00BB17F2">
        <w:t>64 </w:t>
      </w:r>
      <w:r w:rsidR="00447807">
        <w:t>USD</w:t>
      </w:r>
      <w:r>
        <w:t xml:space="preserve">. Problémem ovšem je, že </w:t>
      </w:r>
      <w:r w:rsidR="00361DA1">
        <w:t>Delor</w:t>
      </w:r>
      <w:r>
        <w:t xml:space="preserve"> potřebuj</w:t>
      </w:r>
      <w:r w:rsidR="00BB17F2">
        <w:t>e hotovost v dolarech ke dni 7. 8. </w:t>
      </w:r>
      <w:r>
        <w:t>2013. Proto společnost uskuteční následující operace: Ke dni 7.</w:t>
      </w:r>
      <w:r w:rsidR="00BB17F2">
        <w:t> 8. 2013 smění 100 000 </w:t>
      </w:r>
      <w:r w:rsidR="00447807">
        <w:t>EUR</w:t>
      </w:r>
      <w:r>
        <w:t xml:space="preserve"> na spotovém trhu</w:t>
      </w:r>
      <w:r w:rsidR="00BB17F2">
        <w:t xml:space="preserve"> za aktuální měnový kurz 0,9034 EUR/USD</w:t>
      </w:r>
      <w:r w:rsidR="00DC4152">
        <w:t>, čímž z</w:t>
      </w:r>
      <w:r w:rsidR="00BB17F2">
        <w:t>íská</w:t>
      </w:r>
      <w:r>
        <w:t xml:space="preserve"> celkem 110 692,94 </w:t>
      </w:r>
      <w:r w:rsidR="00447807">
        <w:t>USD</w:t>
      </w:r>
      <w:r>
        <w:t xml:space="preserve">. Tato suma bohužel nepokryje výši splátky úvěru, rozdíl v těchto obnosech proto musí společnost zaplatit z vlastních zdrojů. </w:t>
      </w:r>
      <w:r w:rsidR="00BB17F2">
        <w:t xml:space="preserve">Druhým krokem, který </w:t>
      </w:r>
      <w:r w:rsidR="00361DA1">
        <w:t>Delor</w:t>
      </w:r>
      <w:r w:rsidR="00BB17F2">
        <w:t xml:space="preserve"> 7. 8. </w:t>
      </w:r>
      <w:r>
        <w:t>2013 uskuteční, je zaujmutí opačné pozice na futures trhu k dosud otevřeným pozicím. Společnost tedy koupí pět futures kontraktů na nákup 100</w:t>
      </w:r>
      <w:r w:rsidR="00BB09D2">
        <w:t> </w:t>
      </w:r>
      <w:r>
        <w:t>000</w:t>
      </w:r>
      <w:r w:rsidR="00BB09D2">
        <w:t> </w:t>
      </w:r>
      <w:r w:rsidR="00447807">
        <w:t>EUR</w:t>
      </w:r>
      <w:r>
        <w:t>. Tuto sumu v eurech bude společnost potřebovat na vypořádání futures kontraktů prodaných 7.</w:t>
      </w:r>
      <w:r w:rsidR="00385387">
        <w:t> 2. </w:t>
      </w:r>
      <w:r>
        <w:t xml:space="preserve">2013. </w:t>
      </w:r>
    </w:p>
    <w:p w:rsidR="00D6513E" w:rsidRDefault="00D6513E" w:rsidP="00D6513E">
      <w:pPr>
        <w:spacing w:after="240" w:line="276" w:lineRule="auto"/>
        <w:jc w:val="both"/>
      </w:pPr>
      <w:r>
        <w:t xml:space="preserve">Pro </w:t>
      </w:r>
      <w:r w:rsidR="004D0385">
        <w:t>výpočet</w:t>
      </w:r>
      <w:r>
        <w:t xml:space="preserve"> futures kurzu koupených kontraktů </w:t>
      </w:r>
      <w:r w:rsidR="004D0385">
        <w:t>bude tentokrát použit</w:t>
      </w:r>
      <w:r>
        <w:t xml:space="preserve"> vzorec na nákup forwardu. Spotový kurz EUR/USD ke dni 7. 8. 2013 je roven 0,9</w:t>
      </w:r>
      <w:r w:rsidR="00385387">
        <w:t>034 EUR/USD. Počet dní od</w:t>
      </w:r>
      <w:r w:rsidR="00BB09D2">
        <w:t> </w:t>
      </w:r>
      <w:r w:rsidR="00385387">
        <w:t>7. 8. 2013 do </w:t>
      </w:r>
      <w:r>
        <w:t>20.</w:t>
      </w:r>
      <w:r w:rsidR="00385387">
        <w:t> </w:t>
      </w:r>
      <w:r>
        <w:t xml:space="preserve">9. 2013 </w:t>
      </w:r>
      <w:r w:rsidR="004D0385">
        <w:t>je roven</w:t>
      </w:r>
      <w:r w:rsidR="00385387">
        <w:t xml:space="preserve"> </w:t>
      </w:r>
      <w:r w:rsidR="004D0385">
        <w:t>44</w:t>
      </w:r>
      <w:r>
        <w:t>.</w:t>
      </w:r>
    </w:p>
    <w:p w:rsidR="00D6513E" w:rsidRDefault="00FA567C" w:rsidP="00D6513E">
      <w:pPr>
        <w:spacing w:after="240" w:line="276" w:lineRule="auto"/>
        <w:jc w:val="both"/>
        <w:rPr>
          <w:rFonts w:eastAsiaTheme="minorEastAsia"/>
        </w:rPr>
      </w:pPr>
      <m:oMathPara>
        <m:oMath>
          <m:sSup>
            <m:sSupPr>
              <m:ctrlPr>
                <w:rPr>
                  <w:rFonts w:ascii="Cambria Math" w:hAnsi="Cambria Math"/>
                  <w:i/>
                </w:rPr>
              </m:ctrlPr>
            </m:sSupPr>
            <m:e>
              <m:r>
                <w:rPr>
                  <w:rFonts w:ascii="Cambria Math" w:hAnsi="Cambria Math"/>
                </w:rPr>
                <m:t>F</m:t>
              </m:r>
            </m:e>
            <m:sup>
              <m:r>
                <w:rPr>
                  <w:rFonts w:ascii="Cambria Math" w:hAnsi="Cambria Math"/>
                </w:rPr>
                <m:t>N</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N</m:t>
                  </m:r>
                </m:sup>
              </m:sSup>
              <m:r>
                <w:rPr>
                  <w:rFonts w:ascii="Cambria Math" w:hAnsi="Cambria Math"/>
                </w:rPr>
                <m:t>*(1+</m:t>
              </m:r>
              <m:sSubSup>
                <m:sSubSupPr>
                  <m:ctrlPr>
                    <w:rPr>
                      <w:rFonts w:ascii="Cambria Math" w:hAnsi="Cambria Math"/>
                      <w:i/>
                    </w:rPr>
                  </m:ctrlPr>
                </m:sSubSupPr>
                <m:e>
                  <m:r>
                    <w:rPr>
                      <w:rFonts w:ascii="Cambria Math" w:hAnsi="Cambria Math"/>
                    </w:rPr>
                    <m:t>i</m:t>
                  </m:r>
                </m:e>
                <m:sub>
                  <m:r>
                    <w:rPr>
                      <w:rFonts w:ascii="Cambria Math" w:hAnsi="Cambria Math"/>
                    </w:rPr>
                    <m:t>DM</m:t>
                  </m:r>
                </m:sub>
                <m:sup>
                  <m:r>
                    <w:rPr>
                      <w:rFonts w:ascii="Cambria Math" w:hAnsi="Cambria Math"/>
                    </w:rPr>
                    <m:t>N</m:t>
                  </m:r>
                </m:sup>
              </m:sSubSup>
              <m:r>
                <w:rPr>
                  <w:rFonts w:ascii="Cambria Math" w:hAnsi="Cambria Math"/>
                </w:rPr>
                <m:t>*t)</m:t>
              </m:r>
            </m:num>
            <m:den>
              <m:r>
                <w:rPr>
                  <w:rFonts w:ascii="Cambria Math" w:hAnsi="Cambria Math"/>
                </w:rPr>
                <m:t>(1+</m:t>
              </m:r>
              <m:sSubSup>
                <m:sSubSupPr>
                  <m:ctrlPr>
                    <w:rPr>
                      <w:rFonts w:ascii="Cambria Math" w:hAnsi="Cambria Math"/>
                      <w:i/>
                    </w:rPr>
                  </m:ctrlPr>
                </m:sSubSupPr>
                <m:e>
                  <m:r>
                    <w:rPr>
                      <w:rFonts w:ascii="Cambria Math" w:hAnsi="Cambria Math"/>
                    </w:rPr>
                    <m:t>i</m:t>
                  </m:r>
                </m:e>
                <m:sub>
                  <m:r>
                    <w:rPr>
                      <w:rFonts w:ascii="Cambria Math" w:hAnsi="Cambria Math"/>
                    </w:rPr>
                    <m:t>CM</m:t>
                  </m:r>
                </m:sub>
                <m:sup>
                  <m:r>
                    <w:rPr>
                      <w:rFonts w:ascii="Cambria Math" w:hAnsi="Cambria Math"/>
                    </w:rPr>
                    <m:t>P</m:t>
                  </m:r>
                </m:sup>
              </m:sSubSup>
              <m:r>
                <w:rPr>
                  <w:rFonts w:ascii="Cambria Math" w:hAnsi="Cambria Math"/>
                </w:rPr>
                <m:t>*t)</m:t>
              </m:r>
            </m:den>
          </m:f>
        </m:oMath>
      </m:oMathPara>
    </w:p>
    <w:p w:rsidR="00D6513E" w:rsidRDefault="00FA567C" w:rsidP="00D6513E">
      <w:pPr>
        <w:spacing w:after="240" w:line="276" w:lineRule="auto"/>
        <w:jc w:val="both"/>
        <w:rPr>
          <w:rFonts w:eastAsiaTheme="minorEastAsia"/>
        </w:rPr>
      </w:pPr>
      <m:oMathPara>
        <m:oMath>
          <m:sSup>
            <m:sSupPr>
              <m:ctrlPr>
                <w:rPr>
                  <w:rFonts w:ascii="Cambria Math" w:hAnsi="Cambria Math"/>
                  <w:i/>
                </w:rPr>
              </m:ctrlPr>
            </m:sSupPr>
            <m:e>
              <m:r>
                <w:rPr>
                  <w:rFonts w:ascii="Cambria Math" w:hAnsi="Cambria Math"/>
                </w:rPr>
                <m:t>F</m:t>
              </m:r>
            </m:e>
            <m:sup>
              <m:r>
                <w:rPr>
                  <w:rFonts w:ascii="Cambria Math" w:hAnsi="Cambria Math"/>
                </w:rPr>
                <m:t>N</m:t>
              </m:r>
            </m:sup>
          </m:sSup>
          <m:r>
            <w:rPr>
              <w:rFonts w:ascii="Cambria Math" w:hAnsi="Cambria Math"/>
            </w:rPr>
            <m:t>=</m:t>
          </m:r>
          <m:f>
            <m:fPr>
              <m:ctrlPr>
                <w:rPr>
                  <w:rFonts w:ascii="Cambria Math" w:hAnsi="Cambria Math"/>
                  <w:i/>
                </w:rPr>
              </m:ctrlPr>
            </m:fPr>
            <m:num>
              <m:r>
                <w:rPr>
                  <w:rFonts w:ascii="Cambria Math" w:hAnsi="Cambria Math"/>
                </w:rPr>
                <m:t>0,9034*(1+0,017*</m:t>
              </m:r>
              <m:f>
                <m:fPr>
                  <m:ctrlPr>
                    <w:rPr>
                      <w:rFonts w:ascii="Cambria Math" w:hAnsi="Cambria Math"/>
                      <w:i/>
                    </w:rPr>
                  </m:ctrlPr>
                </m:fPr>
                <m:num>
                  <m:r>
                    <w:rPr>
                      <w:rFonts w:ascii="Cambria Math" w:hAnsi="Cambria Math"/>
                    </w:rPr>
                    <m:t>44</m:t>
                  </m:r>
                </m:num>
                <m:den>
                  <m:r>
                    <w:rPr>
                      <w:rFonts w:ascii="Cambria Math" w:hAnsi="Cambria Math"/>
                    </w:rPr>
                    <m:t>360</m:t>
                  </m:r>
                </m:den>
              </m:f>
              <m:r>
                <w:rPr>
                  <w:rFonts w:ascii="Cambria Math" w:hAnsi="Cambria Math"/>
                </w:rPr>
                <m:t>)</m:t>
              </m:r>
            </m:num>
            <m:den>
              <m:r>
                <w:rPr>
                  <w:rFonts w:ascii="Cambria Math" w:hAnsi="Cambria Math"/>
                </w:rPr>
                <m:t>(1+0,04*</m:t>
              </m:r>
              <m:f>
                <m:fPr>
                  <m:ctrlPr>
                    <w:rPr>
                      <w:rFonts w:ascii="Cambria Math" w:hAnsi="Cambria Math"/>
                      <w:i/>
                    </w:rPr>
                  </m:ctrlPr>
                </m:fPr>
                <m:num>
                  <m:r>
                    <w:rPr>
                      <w:rFonts w:ascii="Cambria Math" w:hAnsi="Cambria Math"/>
                    </w:rPr>
                    <m:t>44</m:t>
                  </m:r>
                </m:num>
                <m:den>
                  <m:r>
                    <w:rPr>
                      <w:rFonts w:ascii="Cambria Math" w:hAnsi="Cambria Math"/>
                    </w:rPr>
                    <m:t>360</m:t>
                  </m:r>
                </m:den>
              </m:f>
              <m:r>
                <w:rPr>
                  <w:rFonts w:ascii="Cambria Math" w:hAnsi="Cambria Math"/>
                </w:rPr>
                <m:t>)</m:t>
              </m:r>
            </m:den>
          </m:f>
        </m:oMath>
      </m:oMathPara>
    </w:p>
    <w:p w:rsidR="00D6513E" w:rsidRPr="00B373AD" w:rsidRDefault="00FA567C" w:rsidP="00D6513E">
      <w:pPr>
        <w:spacing w:after="240" w:line="276" w:lineRule="auto"/>
        <w:jc w:val="both"/>
      </w:pPr>
      <m:oMathPara>
        <m:oMath>
          <m:sSup>
            <m:sSupPr>
              <m:ctrlPr>
                <w:rPr>
                  <w:rFonts w:ascii="Cambria Math" w:hAnsi="Cambria Math"/>
                  <w:i/>
                </w:rPr>
              </m:ctrlPr>
            </m:sSupPr>
            <m:e>
              <m:r>
                <w:rPr>
                  <w:rFonts w:ascii="Cambria Math" w:hAnsi="Cambria Math"/>
                </w:rPr>
                <m:t>F</m:t>
              </m:r>
            </m:e>
            <m:sup>
              <m:r>
                <w:rPr>
                  <w:rFonts w:ascii="Cambria Math" w:hAnsi="Cambria Math"/>
                </w:rPr>
                <m:t>N</m:t>
              </m:r>
            </m:sup>
          </m:sSup>
          <m:r>
            <w:rPr>
              <w:rFonts w:ascii="Cambria Math" w:hAnsi="Cambria Math"/>
            </w:rPr>
            <m:t>=0,9009</m:t>
          </m:r>
        </m:oMath>
      </m:oMathPara>
    </w:p>
    <w:p w:rsidR="00D6513E" w:rsidRDefault="004D0385" w:rsidP="00D6513E">
      <w:pPr>
        <w:spacing w:after="240" w:line="276" w:lineRule="auto"/>
        <w:jc w:val="both"/>
      </w:pPr>
      <w:r>
        <w:t>Výslednou hodnou</w:t>
      </w:r>
      <w:r w:rsidR="00D6513E">
        <w:t xml:space="preserve"> futures kurzu na nákup </w:t>
      </w:r>
      <w:r>
        <w:t xml:space="preserve">je </w:t>
      </w:r>
      <w:r w:rsidR="00D6513E">
        <w:t>0,9009 EUR/USD.</w:t>
      </w:r>
    </w:p>
    <w:p w:rsidR="00D6513E" w:rsidRDefault="00D6513E" w:rsidP="00D6513E">
      <w:pPr>
        <w:spacing w:after="240" w:line="276" w:lineRule="auto"/>
        <w:jc w:val="both"/>
      </w:pPr>
      <w:r>
        <w:t>Dne 20.</w:t>
      </w:r>
      <w:r w:rsidR="00385387">
        <w:t> 9. 2013 proběhnou</w:t>
      </w:r>
      <w:r>
        <w:t xml:space="preserve"> následující operace: Dojde k vypořádání futures kontraktu, který byl sjednán v ún</w:t>
      </w:r>
      <w:r w:rsidR="00385387">
        <w:t>oru. Společnost prodává 100 000 </w:t>
      </w:r>
      <w:r w:rsidR="00447807">
        <w:t>EUR</w:t>
      </w:r>
      <w:r>
        <w:t>, za které obdrží 132 2</w:t>
      </w:r>
      <w:r w:rsidR="00385387">
        <w:t>57</w:t>
      </w:r>
      <w:r>
        <w:t>,</w:t>
      </w:r>
      <w:r w:rsidR="00385387">
        <w:t>64</w:t>
      </w:r>
      <w:r>
        <w:t xml:space="preserve"> </w:t>
      </w:r>
      <w:r w:rsidR="00447807">
        <w:t>USD</w:t>
      </w:r>
      <w:r>
        <w:t>. Současně končí splatnost i u kontraktu, který byl sjednán v srpnu. V tomto případě je</w:t>
      </w:r>
      <w:r w:rsidR="00BB09D2">
        <w:t> </w:t>
      </w:r>
      <w:r>
        <w:t xml:space="preserve">společnost vázána koupit 100 000 </w:t>
      </w:r>
      <w:r w:rsidR="00447807">
        <w:t>EUR</w:t>
      </w:r>
      <w:r>
        <w:t xml:space="preserve"> za 110 000,11 </w:t>
      </w:r>
      <w:r w:rsidR="00447807">
        <w:t>USD</w:t>
      </w:r>
      <w:r>
        <w:t>. Z těchto dvou operací tedy společnost uskutečňuje zisk ve</w:t>
      </w:r>
      <w:r w:rsidR="00385387">
        <w:t> </w:t>
      </w:r>
      <w:r>
        <w:t>výši rozdílu přijatých a zaplacených amerických dolarů. Tento</w:t>
      </w:r>
      <w:r w:rsidR="00BB09D2">
        <w:t> </w:t>
      </w:r>
      <w:r>
        <w:t>rozdíl činí 21 2</w:t>
      </w:r>
      <w:r w:rsidR="00385387">
        <w:t>57</w:t>
      </w:r>
      <w:r>
        <w:t>,</w:t>
      </w:r>
      <w:r w:rsidR="00385387">
        <w:t>53</w:t>
      </w:r>
      <w:r>
        <w:t xml:space="preserve"> </w:t>
      </w:r>
      <w:r w:rsidR="00447807">
        <w:t>USD</w:t>
      </w:r>
      <w:r>
        <w:t>.</w:t>
      </w:r>
    </w:p>
    <w:p w:rsidR="00D6513E" w:rsidRDefault="00D6513E" w:rsidP="00D6513E">
      <w:pPr>
        <w:spacing w:after="240" w:line="276" w:lineRule="auto"/>
        <w:jc w:val="both"/>
      </w:pPr>
      <w:r>
        <w:t>Pomocí jednotlivých měnových kurzů lze spočítat takzvanou efektivní cenu či efektivní měnový kurz.</w:t>
      </w:r>
      <w:r w:rsidR="00994471">
        <w:rPr>
          <w:rStyle w:val="Znakapoznpodarou"/>
          <w:rFonts w:eastAsiaTheme="majorEastAsia"/>
        </w:rPr>
        <w:footnoteReference w:id="122"/>
      </w:r>
      <w:r>
        <w:t xml:space="preserve"> Tento kurz lze stanovit rozdílem mezi měnovým kurzem futures na prodej a</w:t>
      </w:r>
      <w:r w:rsidR="00994471">
        <w:t> </w:t>
      </w:r>
      <w:r>
        <w:t xml:space="preserve">na nákup. K tomuto rozdílu pak připočteme spotový měnový kurz, </w:t>
      </w:r>
      <w:r w:rsidR="00994471">
        <w:t>za který reálně směníme 100 000 </w:t>
      </w:r>
      <w:r w:rsidR="00447807">
        <w:t>EUR</w:t>
      </w:r>
      <w:r>
        <w:t xml:space="preserve"> za dolary. V našem případě je efe</w:t>
      </w:r>
      <w:r w:rsidR="00994471">
        <w:t>ktivní měnový kurz roven 0,7580 </w:t>
      </w:r>
      <w:r>
        <w:t>EUR/USD.</w:t>
      </w:r>
      <w:r w:rsidR="00994471">
        <w:t xml:space="preserve"> </w:t>
      </w:r>
      <w:r w:rsidR="00361DA1">
        <w:t>Delor</w:t>
      </w:r>
      <w:r w:rsidR="00994471">
        <w:t xml:space="preserve"> </w:t>
      </w:r>
      <w:r w:rsidR="00BB09D2">
        <w:t xml:space="preserve">tedy s ohledem na všechny provedené operace </w:t>
      </w:r>
      <w:r w:rsidR="00994471">
        <w:t xml:space="preserve">reálně zaplatí 100 000 / </w:t>
      </w:r>
      <w:r>
        <w:t>0,7580, což je</w:t>
      </w:r>
      <w:r w:rsidR="00BB09D2">
        <w:t> </w:t>
      </w:r>
      <w:r>
        <w:t xml:space="preserve">rovno 131 926,12 </w:t>
      </w:r>
      <w:r w:rsidR="00447807">
        <w:t>USD</w:t>
      </w:r>
      <w:r>
        <w:t>.</w:t>
      </w:r>
    </w:p>
    <w:p w:rsidR="00994471" w:rsidRDefault="00994471" w:rsidP="00D6513E">
      <w:pPr>
        <w:spacing w:after="240" w:line="276" w:lineRule="auto"/>
        <w:jc w:val="both"/>
      </w:pPr>
    </w:p>
    <w:p w:rsidR="00D6513E" w:rsidRPr="00F83734" w:rsidRDefault="00D6513E" w:rsidP="00D6513E">
      <w:pPr>
        <w:pStyle w:val="Odstavecseseznamem"/>
        <w:numPr>
          <w:ilvl w:val="0"/>
          <w:numId w:val="22"/>
        </w:numPr>
        <w:spacing w:after="240"/>
        <w:jc w:val="both"/>
        <w:rPr>
          <w:rFonts w:ascii="Times New Roman" w:hAnsi="Times New Roman" w:cs="Times New Roman"/>
          <w:b/>
          <w:sz w:val="24"/>
        </w:rPr>
      </w:pPr>
      <w:r w:rsidRPr="00F83734">
        <w:rPr>
          <w:rFonts w:ascii="Times New Roman" w:hAnsi="Times New Roman" w:cs="Times New Roman"/>
          <w:b/>
          <w:sz w:val="24"/>
        </w:rPr>
        <w:t>Postup společnosti v následujících obdobích</w:t>
      </w:r>
    </w:p>
    <w:p w:rsidR="00D6513E" w:rsidRDefault="00D6513E" w:rsidP="00D6513E">
      <w:pPr>
        <w:spacing w:after="240" w:line="276" w:lineRule="auto"/>
        <w:jc w:val="both"/>
      </w:pPr>
      <w:r>
        <w:t xml:space="preserve">Zatím </w:t>
      </w:r>
      <w:r w:rsidR="004D0385">
        <w:t>byl demonstrován</w:t>
      </w:r>
      <w:r>
        <w:t xml:space="preserve"> postup a výsledky společnosti pouze pro případ zajištění na půl roku. </w:t>
      </w:r>
      <w:r w:rsidR="00361DA1">
        <w:t>Delor</w:t>
      </w:r>
      <w:r>
        <w:t xml:space="preserve"> ovšem potřebuje směňovat </w:t>
      </w:r>
      <w:r w:rsidR="006326EB">
        <w:t xml:space="preserve">eura </w:t>
      </w:r>
      <w:r>
        <w:t>za dolary v pravidelných půlročních intervalech po</w:t>
      </w:r>
      <w:r w:rsidR="006326EB">
        <w:t> </w:t>
      </w:r>
      <w:r>
        <w:t>dobu pěti let. Problémem je, že na termínových burzách se obchodují futures kontrakty pouze s omezenou dobou trvání. Nejdelšími kontrakty bývají zpravidla futures splatné do</w:t>
      </w:r>
      <w:r w:rsidR="006326EB">
        <w:t> </w:t>
      </w:r>
      <w:r>
        <w:t xml:space="preserve">jednoho roku. Nelze tedy v jeden den koupit deset futures kontraktů s různou dobou splatnosti – od půl roku do pěti let – jak </w:t>
      </w:r>
      <w:r w:rsidR="004D0385">
        <w:t>bylo učiněno</w:t>
      </w:r>
      <w:r>
        <w:t xml:space="preserve"> u forwardů.</w:t>
      </w:r>
    </w:p>
    <w:p w:rsidR="00D6513E" w:rsidRPr="00ED1131" w:rsidRDefault="00D6513E" w:rsidP="00D6513E">
      <w:pPr>
        <w:spacing w:after="240" w:line="276" w:lineRule="auto"/>
        <w:jc w:val="both"/>
      </w:pPr>
      <w:r>
        <w:t>Popsaný problém se na termínových burzách řeší tzv. rolováním. Rolování není ničím jiným než uzavření pozice v jednom futures kontraktu a otevření pozice ve futures kontraktu se</w:t>
      </w:r>
      <w:r w:rsidR="004E3B7B">
        <w:t> </w:t>
      </w:r>
      <w:r>
        <w:t>stejnými podmínkami, ovšem s pozdější dobou splatnosti. Tento postup se dá opakovat.</w:t>
      </w:r>
      <w:r>
        <w:rPr>
          <w:rStyle w:val="Znakapoznpodarou"/>
          <w:rFonts w:eastAsiaTheme="majorEastAsia"/>
        </w:rPr>
        <w:footnoteReference w:id="123"/>
      </w:r>
      <w:r>
        <w:t xml:space="preserve"> Společnost </w:t>
      </w:r>
      <w:r w:rsidR="00361DA1">
        <w:t>Delor</w:t>
      </w:r>
      <w:r>
        <w:t xml:space="preserve"> tedy bude každ</w:t>
      </w:r>
      <w:r w:rsidR="004E3B7B">
        <w:t>ý</w:t>
      </w:r>
      <w:r>
        <w:t xml:space="preserve"> půl rok otevírat nové pozice na termínovém trhu. Samotný postup při zajištění je pak ve všech případech shodný. Společnost </w:t>
      </w:r>
      <w:r w:rsidR="004D0385">
        <w:t>bude postupovat</w:t>
      </w:r>
      <w:r>
        <w:t xml:space="preserve"> </w:t>
      </w:r>
      <w:r w:rsidR="004E3B7B">
        <w:t xml:space="preserve">vždy </w:t>
      </w:r>
      <w:r>
        <w:t>obdobně, jak učinila v </w:t>
      </w:r>
      <w:r w:rsidR="004E3B7B">
        <w:t>období 7. 2. 2013 – 7. 8. 2013.</w:t>
      </w:r>
    </w:p>
    <w:p w:rsidR="00D6513E" w:rsidRDefault="00D6513E" w:rsidP="00D6513E">
      <w:pPr>
        <w:spacing w:before="240" w:after="240" w:line="276" w:lineRule="auto"/>
        <w:jc w:val="both"/>
      </w:pPr>
      <w:r>
        <w:t xml:space="preserve">V následujících tabulkách jsou uvedeny výsledky společnosti </w:t>
      </w:r>
      <w:r w:rsidR="00361DA1">
        <w:t>Delor</w:t>
      </w:r>
      <w:r>
        <w:t xml:space="preserve"> pro jednotlivá období.</w:t>
      </w:r>
    </w:p>
    <w:p w:rsidR="004E3B7B" w:rsidRPr="004E3B7B" w:rsidRDefault="004E3B7B" w:rsidP="004E3B7B">
      <w:pPr>
        <w:pStyle w:val="Titulek"/>
        <w:keepNext/>
        <w:spacing w:line="276" w:lineRule="auto"/>
        <w:jc w:val="both"/>
        <w:rPr>
          <w:rFonts w:ascii="Times New Roman" w:hAnsi="Times New Roman" w:cs="Times New Roman"/>
          <w:b w:val="0"/>
          <w:color w:val="auto"/>
          <w:sz w:val="24"/>
        </w:rPr>
      </w:pPr>
      <w:bookmarkStart w:id="91" w:name="_Toc354393031"/>
      <w:r w:rsidRPr="004E3B7B">
        <w:rPr>
          <w:rFonts w:ascii="Times New Roman" w:hAnsi="Times New Roman" w:cs="Times New Roman"/>
          <w:b w:val="0"/>
          <w:color w:val="auto"/>
          <w:sz w:val="24"/>
        </w:rPr>
        <w:lastRenderedPageBreak/>
        <w:t xml:space="preserve">Tabulka </w:t>
      </w:r>
      <w:r w:rsidR="00FA567C" w:rsidRPr="004E3B7B">
        <w:rPr>
          <w:rFonts w:ascii="Times New Roman" w:hAnsi="Times New Roman" w:cs="Times New Roman"/>
          <w:b w:val="0"/>
          <w:color w:val="auto"/>
          <w:sz w:val="24"/>
        </w:rPr>
        <w:fldChar w:fldCharType="begin"/>
      </w:r>
      <w:r w:rsidRPr="004E3B7B">
        <w:rPr>
          <w:rFonts w:ascii="Times New Roman" w:hAnsi="Times New Roman" w:cs="Times New Roman"/>
          <w:b w:val="0"/>
          <w:color w:val="auto"/>
          <w:sz w:val="24"/>
        </w:rPr>
        <w:instrText xml:space="preserve"> SEQ Tabulka \* ARABIC </w:instrText>
      </w:r>
      <w:r w:rsidR="00FA567C" w:rsidRPr="004E3B7B">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8</w:t>
      </w:r>
      <w:r w:rsidR="00FA567C" w:rsidRPr="004E3B7B">
        <w:rPr>
          <w:rFonts w:ascii="Times New Roman" w:hAnsi="Times New Roman" w:cs="Times New Roman"/>
          <w:b w:val="0"/>
          <w:color w:val="auto"/>
          <w:sz w:val="24"/>
        </w:rPr>
        <w:fldChar w:fldCharType="end"/>
      </w:r>
      <w:r w:rsidRPr="004E3B7B">
        <w:rPr>
          <w:rFonts w:ascii="Times New Roman" w:hAnsi="Times New Roman" w:cs="Times New Roman"/>
          <w:b w:val="0"/>
          <w:color w:val="auto"/>
          <w:sz w:val="24"/>
        </w:rPr>
        <w:t>: Prodané futures kontrakty</w:t>
      </w:r>
      <w:bookmarkEnd w:id="91"/>
    </w:p>
    <w:tbl>
      <w:tblPr>
        <w:tblStyle w:val="Svtlstnovn1"/>
        <w:tblW w:w="8910" w:type="dxa"/>
        <w:jc w:val="center"/>
        <w:tblLook w:val="04A0"/>
      </w:tblPr>
      <w:tblGrid>
        <w:gridCol w:w="2336"/>
        <w:gridCol w:w="1621"/>
        <w:gridCol w:w="1901"/>
        <w:gridCol w:w="1246"/>
        <w:gridCol w:w="1806"/>
      </w:tblGrid>
      <w:tr w:rsidR="00D6513E" w:rsidRPr="004E3B7B" w:rsidTr="004E3B7B">
        <w:trPr>
          <w:cnfStyle w:val="100000000000"/>
          <w:trHeight w:val="300"/>
          <w:jc w:val="center"/>
        </w:trPr>
        <w:tc>
          <w:tcPr>
            <w:cnfStyle w:val="001000000000"/>
            <w:tcW w:w="2336" w:type="dxa"/>
            <w:noWrap/>
            <w:vAlign w:val="center"/>
            <w:hideMark/>
          </w:tcPr>
          <w:p w:rsidR="00D6513E" w:rsidRPr="004E3B7B" w:rsidRDefault="004E3B7B" w:rsidP="004E3B7B">
            <w:pPr>
              <w:spacing w:line="276" w:lineRule="auto"/>
              <w:jc w:val="center"/>
              <w:rPr>
                <w:color w:val="000000"/>
                <w:sz w:val="24"/>
                <w:szCs w:val="24"/>
                <w:lang w:eastAsia="cs-CZ"/>
              </w:rPr>
            </w:pPr>
            <w:r>
              <w:rPr>
                <w:color w:val="000000"/>
                <w:sz w:val="24"/>
                <w:szCs w:val="24"/>
                <w:lang w:eastAsia="cs-CZ"/>
              </w:rPr>
              <w:t>Období</w:t>
            </w:r>
          </w:p>
        </w:tc>
        <w:tc>
          <w:tcPr>
            <w:tcW w:w="1621" w:type="dxa"/>
            <w:noWrap/>
            <w:vAlign w:val="center"/>
            <w:hideMark/>
          </w:tcPr>
          <w:p w:rsidR="00D6513E" w:rsidRPr="004E3B7B" w:rsidRDefault="00D6513E" w:rsidP="004E3B7B">
            <w:pPr>
              <w:spacing w:line="276" w:lineRule="auto"/>
              <w:jc w:val="center"/>
              <w:cnfStyle w:val="100000000000"/>
              <w:rPr>
                <w:color w:val="000000"/>
                <w:sz w:val="24"/>
                <w:szCs w:val="24"/>
                <w:lang w:eastAsia="cs-CZ"/>
              </w:rPr>
            </w:pPr>
            <w:r w:rsidRPr="004E3B7B">
              <w:rPr>
                <w:color w:val="000000"/>
                <w:sz w:val="24"/>
                <w:szCs w:val="24"/>
                <w:lang w:eastAsia="cs-CZ"/>
              </w:rPr>
              <w:t xml:space="preserve">Spotový kurz </w:t>
            </w:r>
          </w:p>
        </w:tc>
        <w:tc>
          <w:tcPr>
            <w:tcW w:w="1901" w:type="dxa"/>
            <w:noWrap/>
            <w:vAlign w:val="center"/>
            <w:hideMark/>
          </w:tcPr>
          <w:p w:rsidR="00D6513E" w:rsidRPr="004E3B7B" w:rsidRDefault="00D6513E" w:rsidP="004E3B7B">
            <w:pPr>
              <w:spacing w:line="276" w:lineRule="auto"/>
              <w:jc w:val="center"/>
              <w:cnfStyle w:val="100000000000"/>
              <w:rPr>
                <w:color w:val="000000"/>
                <w:sz w:val="24"/>
                <w:szCs w:val="24"/>
                <w:lang w:eastAsia="cs-CZ"/>
              </w:rPr>
            </w:pPr>
            <w:r w:rsidRPr="004E3B7B">
              <w:rPr>
                <w:color w:val="000000"/>
                <w:sz w:val="24"/>
                <w:szCs w:val="24"/>
                <w:lang w:eastAsia="cs-CZ"/>
              </w:rPr>
              <w:t>Den vypořádání</w:t>
            </w:r>
          </w:p>
        </w:tc>
        <w:tc>
          <w:tcPr>
            <w:tcW w:w="1246" w:type="dxa"/>
            <w:noWrap/>
            <w:vAlign w:val="center"/>
            <w:hideMark/>
          </w:tcPr>
          <w:p w:rsidR="00D6513E" w:rsidRPr="004E3B7B" w:rsidRDefault="00D6513E" w:rsidP="004E3B7B">
            <w:pPr>
              <w:spacing w:line="276" w:lineRule="auto"/>
              <w:jc w:val="center"/>
              <w:cnfStyle w:val="100000000000"/>
              <w:rPr>
                <w:color w:val="000000"/>
                <w:sz w:val="24"/>
                <w:szCs w:val="24"/>
                <w:lang w:eastAsia="cs-CZ"/>
              </w:rPr>
            </w:pPr>
            <w:r w:rsidRPr="004E3B7B">
              <w:rPr>
                <w:color w:val="000000"/>
                <w:sz w:val="24"/>
                <w:szCs w:val="24"/>
                <w:lang w:eastAsia="cs-CZ"/>
              </w:rPr>
              <w:t>Počet dnů</w:t>
            </w:r>
          </w:p>
        </w:tc>
        <w:tc>
          <w:tcPr>
            <w:tcW w:w="1806" w:type="dxa"/>
            <w:noWrap/>
            <w:vAlign w:val="center"/>
            <w:hideMark/>
          </w:tcPr>
          <w:p w:rsidR="00D6513E" w:rsidRPr="004E3B7B" w:rsidRDefault="00D6513E" w:rsidP="004E3B7B">
            <w:pPr>
              <w:spacing w:line="276" w:lineRule="auto"/>
              <w:jc w:val="center"/>
              <w:cnfStyle w:val="100000000000"/>
              <w:rPr>
                <w:color w:val="000000"/>
                <w:sz w:val="24"/>
                <w:szCs w:val="24"/>
                <w:lang w:eastAsia="cs-CZ"/>
              </w:rPr>
            </w:pPr>
            <w:r w:rsidRPr="004E3B7B">
              <w:rPr>
                <w:color w:val="000000"/>
                <w:sz w:val="24"/>
                <w:szCs w:val="24"/>
                <w:lang w:eastAsia="cs-CZ"/>
              </w:rPr>
              <w:t>Futures prodej</w:t>
            </w:r>
          </w:p>
        </w:tc>
      </w:tr>
      <w:tr w:rsidR="00D6513E" w:rsidRPr="004E3B7B" w:rsidTr="001433CF">
        <w:trPr>
          <w:cnfStyle w:val="000000100000"/>
          <w:trHeight w:val="300"/>
          <w:jc w:val="center"/>
        </w:trPr>
        <w:tc>
          <w:tcPr>
            <w:cnfStyle w:val="001000000000"/>
            <w:tcW w:w="2336" w:type="dxa"/>
            <w:shd w:val="clear" w:color="auto" w:fill="D9D9D9" w:themeFill="background1" w:themeFillShade="D9"/>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2. 2013 - 7. 8. 2013</w:t>
            </w:r>
          </w:p>
        </w:tc>
        <w:tc>
          <w:tcPr>
            <w:tcW w:w="162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0,7464</w:t>
            </w:r>
          </w:p>
        </w:tc>
        <w:tc>
          <w:tcPr>
            <w:tcW w:w="190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20. 9. 2013</w:t>
            </w:r>
          </w:p>
        </w:tc>
        <w:tc>
          <w:tcPr>
            <w:tcW w:w="124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225/360</w:t>
            </w:r>
          </w:p>
        </w:tc>
        <w:tc>
          <w:tcPr>
            <w:tcW w:w="180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0,7561</w:t>
            </w:r>
          </w:p>
        </w:tc>
      </w:tr>
      <w:tr w:rsidR="00D6513E" w:rsidRPr="004E3B7B" w:rsidTr="004E3B7B">
        <w:trPr>
          <w:trHeight w:val="300"/>
          <w:jc w:val="center"/>
        </w:trPr>
        <w:tc>
          <w:tcPr>
            <w:cnfStyle w:val="001000000000"/>
            <w:tcW w:w="2336" w:type="dxa"/>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8. 2013 - 7. 2. 2014</w:t>
            </w:r>
          </w:p>
        </w:tc>
        <w:tc>
          <w:tcPr>
            <w:tcW w:w="162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0,9034</w:t>
            </w:r>
          </w:p>
        </w:tc>
        <w:tc>
          <w:tcPr>
            <w:tcW w:w="190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21. 3. 2014</w:t>
            </w:r>
          </w:p>
        </w:tc>
        <w:tc>
          <w:tcPr>
            <w:tcW w:w="124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226/360</w:t>
            </w:r>
          </w:p>
        </w:tc>
        <w:tc>
          <w:tcPr>
            <w:tcW w:w="180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0,9152</w:t>
            </w:r>
          </w:p>
        </w:tc>
      </w:tr>
      <w:tr w:rsidR="00D6513E" w:rsidRPr="004E3B7B" w:rsidTr="001433CF">
        <w:trPr>
          <w:cnfStyle w:val="000000100000"/>
          <w:trHeight w:val="300"/>
          <w:jc w:val="center"/>
        </w:trPr>
        <w:tc>
          <w:tcPr>
            <w:cnfStyle w:val="001000000000"/>
            <w:tcW w:w="2336" w:type="dxa"/>
            <w:shd w:val="clear" w:color="auto" w:fill="D9D9D9" w:themeFill="background1" w:themeFillShade="D9"/>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2. 2014 - 7. 8. 2014</w:t>
            </w:r>
          </w:p>
        </w:tc>
        <w:tc>
          <w:tcPr>
            <w:tcW w:w="162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0,8657</w:t>
            </w:r>
          </w:p>
        </w:tc>
        <w:tc>
          <w:tcPr>
            <w:tcW w:w="190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19. 9. 2014</w:t>
            </w:r>
          </w:p>
        </w:tc>
        <w:tc>
          <w:tcPr>
            <w:tcW w:w="124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224/360</w:t>
            </w:r>
          </w:p>
        </w:tc>
        <w:tc>
          <w:tcPr>
            <w:tcW w:w="180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0,8769</w:t>
            </w:r>
          </w:p>
        </w:tc>
      </w:tr>
      <w:tr w:rsidR="00D6513E" w:rsidRPr="004E3B7B" w:rsidTr="004E3B7B">
        <w:trPr>
          <w:trHeight w:val="300"/>
          <w:jc w:val="center"/>
        </w:trPr>
        <w:tc>
          <w:tcPr>
            <w:cnfStyle w:val="001000000000"/>
            <w:tcW w:w="2336" w:type="dxa"/>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8. 2014 - 7. 2. 2015</w:t>
            </w:r>
          </w:p>
        </w:tc>
        <w:tc>
          <w:tcPr>
            <w:tcW w:w="162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0,7356</w:t>
            </w:r>
          </w:p>
        </w:tc>
        <w:tc>
          <w:tcPr>
            <w:tcW w:w="190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20. 3. 2015</w:t>
            </w:r>
          </w:p>
        </w:tc>
        <w:tc>
          <w:tcPr>
            <w:tcW w:w="124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225/360</w:t>
            </w:r>
          </w:p>
        </w:tc>
        <w:tc>
          <w:tcPr>
            <w:tcW w:w="180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0,7451</w:t>
            </w:r>
          </w:p>
        </w:tc>
      </w:tr>
      <w:tr w:rsidR="00D6513E" w:rsidRPr="004E3B7B" w:rsidTr="001433CF">
        <w:trPr>
          <w:cnfStyle w:val="000000100000"/>
          <w:trHeight w:val="300"/>
          <w:jc w:val="center"/>
        </w:trPr>
        <w:tc>
          <w:tcPr>
            <w:cnfStyle w:val="001000000000"/>
            <w:tcW w:w="2336" w:type="dxa"/>
            <w:shd w:val="clear" w:color="auto" w:fill="D9D9D9" w:themeFill="background1" w:themeFillShade="D9"/>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2. 2015 - 7. 8. 2015</w:t>
            </w:r>
          </w:p>
        </w:tc>
        <w:tc>
          <w:tcPr>
            <w:tcW w:w="162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0,9683</w:t>
            </w:r>
          </w:p>
        </w:tc>
        <w:tc>
          <w:tcPr>
            <w:tcW w:w="190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18. 9. 2015</w:t>
            </w:r>
          </w:p>
        </w:tc>
        <w:tc>
          <w:tcPr>
            <w:tcW w:w="124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223/360</w:t>
            </w:r>
          </w:p>
        </w:tc>
        <w:tc>
          <w:tcPr>
            <w:tcW w:w="180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0,9807</w:t>
            </w:r>
          </w:p>
        </w:tc>
      </w:tr>
      <w:tr w:rsidR="00D6513E" w:rsidRPr="004E3B7B" w:rsidTr="004E3B7B">
        <w:trPr>
          <w:trHeight w:val="300"/>
          <w:jc w:val="center"/>
        </w:trPr>
        <w:tc>
          <w:tcPr>
            <w:cnfStyle w:val="001000000000"/>
            <w:tcW w:w="2336" w:type="dxa"/>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8. 2015 - 7. 2. 2016</w:t>
            </w:r>
          </w:p>
        </w:tc>
        <w:tc>
          <w:tcPr>
            <w:tcW w:w="162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0,9967</w:t>
            </w:r>
          </w:p>
        </w:tc>
        <w:tc>
          <w:tcPr>
            <w:tcW w:w="190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18. 3. 2016</w:t>
            </w:r>
          </w:p>
        </w:tc>
        <w:tc>
          <w:tcPr>
            <w:tcW w:w="124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223/360</w:t>
            </w:r>
          </w:p>
        </w:tc>
        <w:tc>
          <w:tcPr>
            <w:tcW w:w="180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1,0095</w:t>
            </w:r>
          </w:p>
        </w:tc>
      </w:tr>
      <w:tr w:rsidR="00D6513E" w:rsidRPr="004E3B7B" w:rsidTr="001433CF">
        <w:trPr>
          <w:cnfStyle w:val="000000100000"/>
          <w:trHeight w:val="300"/>
          <w:jc w:val="center"/>
        </w:trPr>
        <w:tc>
          <w:tcPr>
            <w:cnfStyle w:val="001000000000"/>
            <w:tcW w:w="2336" w:type="dxa"/>
            <w:shd w:val="clear" w:color="auto" w:fill="D9D9D9" w:themeFill="background1" w:themeFillShade="D9"/>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2. 2016 - 7. 8. 2016</w:t>
            </w:r>
          </w:p>
        </w:tc>
        <w:tc>
          <w:tcPr>
            <w:tcW w:w="162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0,8324</w:t>
            </w:r>
          </w:p>
        </w:tc>
        <w:tc>
          <w:tcPr>
            <w:tcW w:w="190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16. 9. 2016</w:t>
            </w:r>
          </w:p>
        </w:tc>
        <w:tc>
          <w:tcPr>
            <w:tcW w:w="124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224/360</w:t>
            </w:r>
          </w:p>
        </w:tc>
        <w:tc>
          <w:tcPr>
            <w:tcW w:w="180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0,8431</w:t>
            </w:r>
          </w:p>
        </w:tc>
      </w:tr>
      <w:tr w:rsidR="00D6513E" w:rsidRPr="004E3B7B" w:rsidTr="004E3B7B">
        <w:trPr>
          <w:trHeight w:val="300"/>
          <w:jc w:val="center"/>
        </w:trPr>
        <w:tc>
          <w:tcPr>
            <w:cnfStyle w:val="001000000000"/>
            <w:tcW w:w="2336" w:type="dxa"/>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8. 2016 - 7. 2. 2017</w:t>
            </w:r>
          </w:p>
        </w:tc>
        <w:tc>
          <w:tcPr>
            <w:tcW w:w="162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0,8067</w:t>
            </w:r>
          </w:p>
        </w:tc>
        <w:tc>
          <w:tcPr>
            <w:tcW w:w="190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17. 3. 2017</w:t>
            </w:r>
          </w:p>
        </w:tc>
        <w:tc>
          <w:tcPr>
            <w:tcW w:w="124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222/360</w:t>
            </w:r>
          </w:p>
        </w:tc>
        <w:tc>
          <w:tcPr>
            <w:tcW w:w="180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0,817</w:t>
            </w:r>
          </w:p>
        </w:tc>
      </w:tr>
      <w:tr w:rsidR="00D6513E" w:rsidRPr="004E3B7B" w:rsidTr="001433CF">
        <w:trPr>
          <w:cnfStyle w:val="000000100000"/>
          <w:trHeight w:val="300"/>
          <w:jc w:val="center"/>
        </w:trPr>
        <w:tc>
          <w:tcPr>
            <w:cnfStyle w:val="001000000000"/>
            <w:tcW w:w="2336" w:type="dxa"/>
            <w:shd w:val="clear" w:color="auto" w:fill="D9D9D9" w:themeFill="background1" w:themeFillShade="D9"/>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2. 2017 - 7. 8. 2017</w:t>
            </w:r>
          </w:p>
        </w:tc>
        <w:tc>
          <w:tcPr>
            <w:tcW w:w="162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0,7828</w:t>
            </w:r>
          </w:p>
        </w:tc>
        <w:tc>
          <w:tcPr>
            <w:tcW w:w="190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15. 9. 2017</w:t>
            </w:r>
          </w:p>
        </w:tc>
        <w:tc>
          <w:tcPr>
            <w:tcW w:w="124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220/360</w:t>
            </w:r>
          </w:p>
        </w:tc>
        <w:tc>
          <w:tcPr>
            <w:tcW w:w="180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0,7927</w:t>
            </w:r>
          </w:p>
        </w:tc>
      </w:tr>
      <w:tr w:rsidR="00D6513E" w:rsidRPr="004E3B7B" w:rsidTr="004E3B7B">
        <w:trPr>
          <w:trHeight w:val="300"/>
          <w:jc w:val="center"/>
        </w:trPr>
        <w:tc>
          <w:tcPr>
            <w:cnfStyle w:val="001000000000"/>
            <w:tcW w:w="2336" w:type="dxa"/>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8. 2017 - 7. 2. 2018</w:t>
            </w:r>
          </w:p>
        </w:tc>
        <w:tc>
          <w:tcPr>
            <w:tcW w:w="162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0,7267</w:t>
            </w:r>
          </w:p>
        </w:tc>
        <w:tc>
          <w:tcPr>
            <w:tcW w:w="1901"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16. 3. 2018</w:t>
            </w:r>
          </w:p>
        </w:tc>
        <w:tc>
          <w:tcPr>
            <w:tcW w:w="1246" w:type="dxa"/>
            <w:noWrap/>
            <w:vAlign w:val="center"/>
            <w:hideMark/>
          </w:tcPr>
          <w:p w:rsidR="00D6513E" w:rsidRPr="004E3B7B" w:rsidRDefault="00D6513E" w:rsidP="004E3B7B">
            <w:pPr>
              <w:spacing w:line="276" w:lineRule="auto"/>
              <w:jc w:val="center"/>
              <w:cnfStyle w:val="000000000000"/>
              <w:rPr>
                <w:color w:val="000000"/>
                <w:sz w:val="24"/>
                <w:szCs w:val="24"/>
                <w:lang w:eastAsia="cs-CZ"/>
              </w:rPr>
            </w:pPr>
            <w:r w:rsidRPr="004E3B7B">
              <w:rPr>
                <w:color w:val="000000"/>
                <w:sz w:val="24"/>
                <w:szCs w:val="24"/>
                <w:lang w:eastAsia="cs-CZ"/>
              </w:rPr>
              <w:t>221/360</w:t>
            </w:r>
          </w:p>
        </w:tc>
        <w:tc>
          <w:tcPr>
            <w:tcW w:w="1806" w:type="dxa"/>
            <w:noWrap/>
            <w:vAlign w:val="center"/>
            <w:hideMark/>
          </w:tcPr>
          <w:p w:rsidR="00D6513E" w:rsidRPr="004E3B7B" w:rsidRDefault="00D6513E" w:rsidP="004E3B7B">
            <w:pPr>
              <w:keepNext/>
              <w:spacing w:line="276" w:lineRule="auto"/>
              <w:jc w:val="center"/>
              <w:cnfStyle w:val="000000000000"/>
              <w:rPr>
                <w:color w:val="000000"/>
                <w:sz w:val="24"/>
                <w:szCs w:val="24"/>
                <w:lang w:eastAsia="cs-CZ"/>
              </w:rPr>
            </w:pPr>
            <w:r w:rsidRPr="004E3B7B">
              <w:rPr>
                <w:color w:val="000000"/>
                <w:sz w:val="24"/>
                <w:szCs w:val="24"/>
                <w:lang w:eastAsia="cs-CZ"/>
              </w:rPr>
              <w:t>0,7359</w:t>
            </w:r>
          </w:p>
        </w:tc>
      </w:tr>
      <w:tr w:rsidR="00D6513E" w:rsidRPr="004E3B7B" w:rsidTr="001433CF">
        <w:trPr>
          <w:cnfStyle w:val="000000100000"/>
          <w:trHeight w:val="300"/>
          <w:jc w:val="center"/>
        </w:trPr>
        <w:tc>
          <w:tcPr>
            <w:cnfStyle w:val="001000000000"/>
            <w:tcW w:w="2336" w:type="dxa"/>
            <w:shd w:val="clear" w:color="auto" w:fill="D9D9D9" w:themeFill="background1" w:themeFillShade="D9"/>
            <w:noWrap/>
            <w:vAlign w:val="center"/>
            <w:hideMark/>
          </w:tcPr>
          <w:p w:rsidR="00D6513E" w:rsidRPr="004E3B7B" w:rsidRDefault="00D6513E" w:rsidP="004E3B7B">
            <w:pPr>
              <w:spacing w:line="276" w:lineRule="auto"/>
              <w:jc w:val="center"/>
              <w:rPr>
                <w:b w:val="0"/>
                <w:color w:val="000000"/>
                <w:sz w:val="24"/>
                <w:szCs w:val="24"/>
                <w:lang w:eastAsia="cs-CZ"/>
              </w:rPr>
            </w:pPr>
            <w:r w:rsidRPr="004E3B7B">
              <w:rPr>
                <w:b w:val="0"/>
                <w:color w:val="000000"/>
                <w:sz w:val="24"/>
                <w:szCs w:val="24"/>
                <w:lang w:eastAsia="cs-CZ"/>
              </w:rPr>
              <w:t>7. 2. 2018</w:t>
            </w:r>
          </w:p>
        </w:tc>
        <w:tc>
          <w:tcPr>
            <w:tcW w:w="162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r w:rsidRPr="004E3B7B">
              <w:rPr>
                <w:color w:val="000000"/>
                <w:sz w:val="24"/>
                <w:szCs w:val="24"/>
                <w:lang w:eastAsia="cs-CZ"/>
              </w:rPr>
              <w:t>0,6468</w:t>
            </w:r>
          </w:p>
        </w:tc>
        <w:tc>
          <w:tcPr>
            <w:tcW w:w="1901"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p>
        </w:tc>
        <w:tc>
          <w:tcPr>
            <w:tcW w:w="1246" w:type="dxa"/>
            <w:shd w:val="clear" w:color="auto" w:fill="D9D9D9" w:themeFill="background1" w:themeFillShade="D9"/>
            <w:noWrap/>
            <w:vAlign w:val="center"/>
            <w:hideMark/>
          </w:tcPr>
          <w:p w:rsidR="00D6513E" w:rsidRPr="004E3B7B" w:rsidRDefault="00D6513E" w:rsidP="004E3B7B">
            <w:pPr>
              <w:spacing w:line="276" w:lineRule="auto"/>
              <w:jc w:val="center"/>
              <w:cnfStyle w:val="000000100000"/>
              <w:rPr>
                <w:color w:val="000000"/>
                <w:sz w:val="24"/>
                <w:szCs w:val="24"/>
                <w:lang w:eastAsia="cs-CZ"/>
              </w:rPr>
            </w:pPr>
          </w:p>
        </w:tc>
        <w:tc>
          <w:tcPr>
            <w:tcW w:w="1806" w:type="dxa"/>
            <w:shd w:val="clear" w:color="auto" w:fill="D9D9D9" w:themeFill="background1" w:themeFillShade="D9"/>
            <w:noWrap/>
            <w:vAlign w:val="center"/>
            <w:hideMark/>
          </w:tcPr>
          <w:p w:rsidR="00D6513E" w:rsidRPr="004E3B7B" w:rsidRDefault="00D6513E" w:rsidP="004E3B7B">
            <w:pPr>
              <w:keepNext/>
              <w:spacing w:line="276" w:lineRule="auto"/>
              <w:jc w:val="center"/>
              <w:cnfStyle w:val="000000100000"/>
              <w:rPr>
                <w:color w:val="000000"/>
                <w:sz w:val="24"/>
                <w:szCs w:val="24"/>
                <w:lang w:eastAsia="cs-CZ"/>
              </w:rPr>
            </w:pPr>
          </w:p>
        </w:tc>
      </w:tr>
    </w:tbl>
    <w:p w:rsidR="006326EB" w:rsidRDefault="004E3B7B" w:rsidP="004E3B7B">
      <w:pPr>
        <w:spacing w:before="240" w:line="276" w:lineRule="auto"/>
        <w:jc w:val="both"/>
        <w:rPr>
          <w:i/>
          <w:sz w:val="20"/>
        </w:rPr>
      </w:pPr>
      <w:r>
        <w:rPr>
          <w:i/>
          <w:sz w:val="20"/>
        </w:rPr>
        <w:t xml:space="preserve">Pramen: </w:t>
      </w:r>
      <w:r w:rsidR="00D6513E" w:rsidRPr="004E3B7B">
        <w:rPr>
          <w:i/>
          <w:sz w:val="20"/>
        </w:rPr>
        <w:t>Vlastní zpracování</w:t>
      </w:r>
      <w:r>
        <w:rPr>
          <w:i/>
          <w:sz w:val="20"/>
        </w:rPr>
        <w:t xml:space="preserve">. </w:t>
      </w:r>
    </w:p>
    <w:p w:rsidR="00D6513E" w:rsidRDefault="006326EB" w:rsidP="004E3B7B">
      <w:pPr>
        <w:spacing w:after="240" w:line="276" w:lineRule="auto"/>
        <w:jc w:val="both"/>
        <w:rPr>
          <w:i/>
          <w:sz w:val="20"/>
        </w:rPr>
      </w:pPr>
      <w:r>
        <w:rPr>
          <w:i/>
          <w:sz w:val="20"/>
        </w:rPr>
        <w:t>Měnové kurzy</w:t>
      </w:r>
      <w:r w:rsidR="004E3B7B">
        <w:rPr>
          <w:i/>
          <w:sz w:val="20"/>
        </w:rPr>
        <w:t xml:space="preserve"> uvedeny v je</w:t>
      </w:r>
      <w:r>
        <w:rPr>
          <w:i/>
          <w:sz w:val="20"/>
        </w:rPr>
        <w:t>dnotkách EUR/USD.</w:t>
      </w:r>
    </w:p>
    <w:p w:rsidR="004E3B7B" w:rsidRPr="004E3B7B" w:rsidRDefault="004E3B7B" w:rsidP="004E3B7B">
      <w:pPr>
        <w:spacing w:before="240" w:after="240" w:line="276" w:lineRule="auto"/>
        <w:jc w:val="both"/>
      </w:pPr>
    </w:p>
    <w:p w:rsidR="00D6513E" w:rsidRDefault="00D6513E" w:rsidP="00D6513E">
      <w:pPr>
        <w:spacing w:after="240" w:line="276" w:lineRule="auto"/>
        <w:jc w:val="both"/>
      </w:pPr>
      <w:r>
        <w:t xml:space="preserve">V Tabulce </w:t>
      </w:r>
      <w:r w:rsidR="004E3B7B">
        <w:t>8</w:t>
      </w:r>
      <w:r>
        <w:t xml:space="preserve"> jsou vypočítány jednotlivé futures kurzy</w:t>
      </w:r>
      <w:r w:rsidR="004E3B7B">
        <w:t xml:space="preserve"> na prodej</w:t>
      </w:r>
      <w:r>
        <w:t xml:space="preserve"> pro očekávaný vývoj měnového kurzu EUR/USD. Spotový kurz je platný vždy k prvnímu datu uvedenému na</w:t>
      </w:r>
      <w:r w:rsidR="004E3B7B">
        <w:t> </w:t>
      </w:r>
      <w:r>
        <w:t>konkrétním řádku ve sloupci „</w:t>
      </w:r>
      <w:r w:rsidR="004E3B7B">
        <w:t>Období</w:t>
      </w:r>
      <w:r>
        <w:t xml:space="preserve">“, tedy k datu sjednání futures kontraktu. </w:t>
      </w:r>
    </w:p>
    <w:p w:rsidR="00D6513E" w:rsidRDefault="00D6513E" w:rsidP="00D6513E">
      <w:pPr>
        <w:spacing w:after="240" w:line="276" w:lineRule="auto"/>
        <w:jc w:val="both"/>
      </w:pPr>
      <w:r>
        <w:t>Jak již bylo zmíněno, problémem je datum splatnosti těchto futures kontraktů. To nastává až</w:t>
      </w:r>
      <w:r w:rsidR="006326EB">
        <w:t> </w:t>
      </w:r>
      <w:r>
        <w:t xml:space="preserve">po termínu, ve kterém potřebuje společnost </w:t>
      </w:r>
      <w:r w:rsidR="00361DA1">
        <w:t>Delor</w:t>
      </w:r>
      <w:r>
        <w:t xml:space="preserve"> splatit splátku úvěru denominovanou v amerických dolarech. Společnost tedy musí k danému datu směnit obnos 100 000 </w:t>
      </w:r>
      <w:r w:rsidR="00447807">
        <w:t>EUR</w:t>
      </w:r>
      <w:r>
        <w:t xml:space="preserve"> na</w:t>
      </w:r>
      <w:r w:rsidR="006326EB">
        <w:t> </w:t>
      </w:r>
      <w:r>
        <w:t xml:space="preserve">spotovém trhu a zároveň zaujmout opačnou pozici na trhu futures. Společnost </w:t>
      </w:r>
      <w:r w:rsidR="00361DA1">
        <w:t>Delor</w:t>
      </w:r>
      <w:r>
        <w:t xml:space="preserve"> bude tedy tentokrát kupovat pří</w:t>
      </w:r>
      <w:r w:rsidR="004E3B7B">
        <w:t>slušný futures kontrakt. Spolu s</w:t>
      </w:r>
      <w:r>
        <w:t> nákupem nových futures kontraktů jsou spojeny opět požadavky na složení po</w:t>
      </w:r>
      <w:r w:rsidR="006326EB">
        <w:t>čáteční marže a její udržování.</w:t>
      </w:r>
    </w:p>
    <w:p w:rsidR="00D6513E" w:rsidRDefault="00D6513E" w:rsidP="00D6513E">
      <w:pPr>
        <w:spacing w:after="240" w:line="276" w:lineRule="auto"/>
        <w:jc w:val="both"/>
      </w:pPr>
      <w:r>
        <w:t xml:space="preserve">Výsledky pro koupený futures kontrakt jsou </w:t>
      </w:r>
      <w:r w:rsidR="00BA58DA">
        <w:t>zobrazeny v Tabulce 9</w:t>
      </w:r>
      <w:r>
        <w:t xml:space="preserve">. </w:t>
      </w:r>
      <w:r w:rsidR="006326EB">
        <w:t>Období, které je</w:t>
      </w:r>
      <w:r>
        <w:t xml:space="preserve"> v tabulce uveden</w:t>
      </w:r>
      <w:r w:rsidR="006326EB">
        <w:t>o, jsou pouze orientační, dává</w:t>
      </w:r>
      <w:r>
        <w:t xml:space="preserve"> přehled, v jakém období </w:t>
      </w:r>
      <w:r w:rsidR="004D0385">
        <w:t>je daný futures kontrakt sjednán</w:t>
      </w:r>
      <w:r>
        <w:t>.</w:t>
      </w:r>
      <w:r w:rsidRPr="00C225BA">
        <w:t xml:space="preserve"> </w:t>
      </w:r>
      <w:r>
        <w:t xml:space="preserve">Ve skutečnosti </w:t>
      </w:r>
      <w:r w:rsidR="004D0385">
        <w:t xml:space="preserve">jsou </w:t>
      </w:r>
      <w:r>
        <w:t>jedn</w:t>
      </w:r>
      <w:r w:rsidR="004D0385">
        <w:t>otlivé futures koupeny</w:t>
      </w:r>
      <w:r>
        <w:t xml:space="preserve"> v poslední den uvedených období. Dny vypořádání </w:t>
      </w:r>
      <w:r w:rsidR="00BA58DA">
        <w:t>koupených futures</w:t>
      </w:r>
      <w:r w:rsidR="004D0385">
        <w:t xml:space="preserve"> kontraktů</w:t>
      </w:r>
      <w:r w:rsidR="00BA58DA">
        <w:t xml:space="preserve"> </w:t>
      </w:r>
      <w:r>
        <w:t>jsou shodné s dny vypořádání prodaných futures kontraktů.</w:t>
      </w:r>
    </w:p>
    <w:p w:rsidR="00BA58DA" w:rsidRDefault="00BA58DA" w:rsidP="00D6513E">
      <w:pPr>
        <w:spacing w:after="240" w:line="276" w:lineRule="auto"/>
        <w:jc w:val="both"/>
      </w:pPr>
    </w:p>
    <w:p w:rsidR="00BA58DA" w:rsidRDefault="00BA58DA">
      <w:pPr>
        <w:suppressAutoHyphens w:val="0"/>
        <w:spacing w:after="200" w:line="276" w:lineRule="auto"/>
        <w:rPr>
          <w:rFonts w:eastAsiaTheme="minorHAnsi"/>
          <w:bCs/>
          <w:szCs w:val="18"/>
          <w:lang w:eastAsia="en-US"/>
        </w:rPr>
      </w:pPr>
      <w:r>
        <w:rPr>
          <w:b/>
        </w:rPr>
        <w:br w:type="page"/>
      </w:r>
    </w:p>
    <w:p w:rsidR="00BA58DA" w:rsidRPr="00BA58DA" w:rsidRDefault="00BA58DA" w:rsidP="00BA58DA">
      <w:pPr>
        <w:pStyle w:val="Titulek"/>
        <w:keepNext/>
        <w:spacing w:line="276" w:lineRule="auto"/>
        <w:jc w:val="both"/>
        <w:rPr>
          <w:rFonts w:ascii="Times New Roman" w:hAnsi="Times New Roman" w:cs="Times New Roman"/>
          <w:b w:val="0"/>
          <w:color w:val="auto"/>
          <w:sz w:val="24"/>
        </w:rPr>
      </w:pPr>
      <w:bookmarkStart w:id="92" w:name="_Toc354393032"/>
      <w:r w:rsidRPr="00BA58DA">
        <w:rPr>
          <w:rFonts w:ascii="Times New Roman" w:hAnsi="Times New Roman" w:cs="Times New Roman"/>
          <w:b w:val="0"/>
          <w:color w:val="auto"/>
          <w:sz w:val="24"/>
        </w:rPr>
        <w:lastRenderedPageBreak/>
        <w:t xml:space="preserve">Tabulka </w:t>
      </w:r>
      <w:r w:rsidR="00FA567C" w:rsidRPr="00BA58DA">
        <w:rPr>
          <w:rFonts w:ascii="Times New Roman" w:hAnsi="Times New Roman" w:cs="Times New Roman"/>
          <w:b w:val="0"/>
          <w:color w:val="auto"/>
          <w:sz w:val="24"/>
        </w:rPr>
        <w:fldChar w:fldCharType="begin"/>
      </w:r>
      <w:r w:rsidRPr="00BA58DA">
        <w:rPr>
          <w:rFonts w:ascii="Times New Roman" w:hAnsi="Times New Roman" w:cs="Times New Roman"/>
          <w:b w:val="0"/>
          <w:color w:val="auto"/>
          <w:sz w:val="24"/>
        </w:rPr>
        <w:instrText xml:space="preserve"> SEQ Tabulka \* ARABIC </w:instrText>
      </w:r>
      <w:r w:rsidR="00FA567C" w:rsidRPr="00BA58DA">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9</w:t>
      </w:r>
      <w:r w:rsidR="00FA567C" w:rsidRPr="00BA58DA">
        <w:rPr>
          <w:rFonts w:ascii="Times New Roman" w:hAnsi="Times New Roman" w:cs="Times New Roman"/>
          <w:b w:val="0"/>
          <w:color w:val="auto"/>
          <w:sz w:val="24"/>
        </w:rPr>
        <w:fldChar w:fldCharType="end"/>
      </w:r>
      <w:r w:rsidRPr="00BA58DA">
        <w:rPr>
          <w:rFonts w:ascii="Times New Roman" w:hAnsi="Times New Roman" w:cs="Times New Roman"/>
          <w:b w:val="0"/>
          <w:color w:val="auto"/>
          <w:sz w:val="24"/>
        </w:rPr>
        <w:t>: Koupené futures kontrakty</w:t>
      </w:r>
      <w:bookmarkEnd w:id="92"/>
    </w:p>
    <w:tbl>
      <w:tblPr>
        <w:tblStyle w:val="Svtlstnovn1"/>
        <w:tblW w:w="8925" w:type="dxa"/>
        <w:jc w:val="center"/>
        <w:tblInd w:w="138" w:type="dxa"/>
        <w:tblLook w:val="04A0"/>
      </w:tblPr>
      <w:tblGrid>
        <w:gridCol w:w="2371"/>
        <w:gridCol w:w="1586"/>
        <w:gridCol w:w="1875"/>
        <w:gridCol w:w="1277"/>
        <w:gridCol w:w="1816"/>
      </w:tblGrid>
      <w:tr w:rsidR="00D6513E" w:rsidRPr="00BA58DA" w:rsidTr="00BA58DA">
        <w:trPr>
          <w:cnfStyle w:val="100000000000"/>
          <w:trHeight w:val="300"/>
          <w:jc w:val="center"/>
        </w:trPr>
        <w:tc>
          <w:tcPr>
            <w:cnfStyle w:val="001000000000"/>
            <w:tcW w:w="2371" w:type="dxa"/>
            <w:noWrap/>
            <w:vAlign w:val="center"/>
            <w:hideMark/>
          </w:tcPr>
          <w:p w:rsidR="00D6513E" w:rsidRPr="00BA58DA" w:rsidRDefault="00BA58DA" w:rsidP="00BA58DA">
            <w:pPr>
              <w:spacing w:line="276" w:lineRule="auto"/>
              <w:jc w:val="center"/>
              <w:rPr>
                <w:color w:val="000000"/>
                <w:sz w:val="24"/>
                <w:szCs w:val="24"/>
                <w:lang w:eastAsia="cs-CZ"/>
              </w:rPr>
            </w:pPr>
            <w:r>
              <w:rPr>
                <w:color w:val="000000"/>
                <w:sz w:val="24"/>
                <w:szCs w:val="24"/>
                <w:lang w:eastAsia="cs-CZ"/>
              </w:rPr>
              <w:t>Období</w:t>
            </w:r>
          </w:p>
        </w:tc>
        <w:tc>
          <w:tcPr>
            <w:tcW w:w="1586" w:type="dxa"/>
            <w:noWrap/>
            <w:vAlign w:val="center"/>
            <w:hideMark/>
          </w:tcPr>
          <w:p w:rsidR="00D6513E" w:rsidRPr="00BA58DA" w:rsidRDefault="00D6513E" w:rsidP="00BA58DA">
            <w:pPr>
              <w:spacing w:line="276" w:lineRule="auto"/>
              <w:jc w:val="center"/>
              <w:cnfStyle w:val="100000000000"/>
              <w:rPr>
                <w:color w:val="000000"/>
                <w:sz w:val="24"/>
                <w:szCs w:val="24"/>
                <w:lang w:eastAsia="cs-CZ"/>
              </w:rPr>
            </w:pPr>
            <w:r w:rsidRPr="00BA58DA">
              <w:rPr>
                <w:color w:val="000000"/>
                <w:sz w:val="24"/>
                <w:szCs w:val="24"/>
                <w:lang w:eastAsia="cs-CZ"/>
              </w:rPr>
              <w:t>Spotový kurz</w:t>
            </w:r>
          </w:p>
        </w:tc>
        <w:tc>
          <w:tcPr>
            <w:tcW w:w="1875" w:type="dxa"/>
            <w:vAlign w:val="center"/>
          </w:tcPr>
          <w:p w:rsidR="00D6513E" w:rsidRPr="00BA58DA" w:rsidRDefault="00D6513E" w:rsidP="00BA58DA">
            <w:pPr>
              <w:spacing w:line="276" w:lineRule="auto"/>
              <w:jc w:val="center"/>
              <w:cnfStyle w:val="100000000000"/>
              <w:rPr>
                <w:color w:val="000000"/>
                <w:sz w:val="24"/>
                <w:szCs w:val="24"/>
                <w:lang w:eastAsia="cs-CZ"/>
              </w:rPr>
            </w:pPr>
            <w:r w:rsidRPr="00BA58DA">
              <w:rPr>
                <w:color w:val="000000"/>
                <w:sz w:val="24"/>
                <w:szCs w:val="24"/>
                <w:lang w:eastAsia="cs-CZ"/>
              </w:rPr>
              <w:t>Den vypořádání</w:t>
            </w:r>
          </w:p>
        </w:tc>
        <w:tc>
          <w:tcPr>
            <w:tcW w:w="1277" w:type="dxa"/>
            <w:noWrap/>
            <w:vAlign w:val="center"/>
            <w:hideMark/>
          </w:tcPr>
          <w:p w:rsidR="00D6513E" w:rsidRPr="00BA58DA" w:rsidRDefault="00D6513E" w:rsidP="00BA58DA">
            <w:pPr>
              <w:spacing w:line="276" w:lineRule="auto"/>
              <w:jc w:val="center"/>
              <w:cnfStyle w:val="100000000000"/>
              <w:rPr>
                <w:color w:val="000000"/>
                <w:sz w:val="24"/>
                <w:szCs w:val="24"/>
                <w:lang w:eastAsia="cs-CZ"/>
              </w:rPr>
            </w:pPr>
            <w:r w:rsidRPr="00BA58DA">
              <w:rPr>
                <w:color w:val="000000"/>
                <w:sz w:val="24"/>
                <w:szCs w:val="24"/>
                <w:lang w:eastAsia="cs-CZ"/>
              </w:rPr>
              <w:t>Počet dnů</w:t>
            </w:r>
          </w:p>
        </w:tc>
        <w:tc>
          <w:tcPr>
            <w:tcW w:w="1816" w:type="dxa"/>
            <w:noWrap/>
            <w:vAlign w:val="center"/>
            <w:hideMark/>
          </w:tcPr>
          <w:p w:rsidR="00D6513E" w:rsidRPr="00BA58DA" w:rsidRDefault="00D6513E" w:rsidP="00BA58DA">
            <w:pPr>
              <w:spacing w:line="276" w:lineRule="auto"/>
              <w:jc w:val="center"/>
              <w:cnfStyle w:val="100000000000"/>
              <w:rPr>
                <w:color w:val="000000"/>
                <w:sz w:val="24"/>
                <w:szCs w:val="24"/>
                <w:lang w:eastAsia="cs-CZ"/>
              </w:rPr>
            </w:pPr>
            <w:r w:rsidRPr="00BA58DA">
              <w:rPr>
                <w:color w:val="000000"/>
                <w:sz w:val="24"/>
                <w:szCs w:val="24"/>
                <w:lang w:eastAsia="cs-CZ"/>
              </w:rPr>
              <w:t>Futures nákup</w:t>
            </w:r>
          </w:p>
        </w:tc>
      </w:tr>
      <w:tr w:rsidR="00D6513E" w:rsidRPr="00BA58DA" w:rsidTr="001433CF">
        <w:trPr>
          <w:cnfStyle w:val="000000100000"/>
          <w:trHeight w:val="300"/>
          <w:jc w:val="center"/>
        </w:trPr>
        <w:tc>
          <w:tcPr>
            <w:cnfStyle w:val="001000000000"/>
            <w:tcW w:w="2371" w:type="dxa"/>
            <w:shd w:val="clear" w:color="auto" w:fill="D9D9D9" w:themeFill="background1" w:themeFillShade="D9"/>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2. 2013 - 7. 8. 2013</w:t>
            </w:r>
          </w:p>
        </w:tc>
        <w:tc>
          <w:tcPr>
            <w:tcW w:w="158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0,7464</w:t>
            </w:r>
          </w:p>
        </w:tc>
        <w:tc>
          <w:tcPr>
            <w:tcW w:w="1875" w:type="dxa"/>
            <w:shd w:val="clear" w:color="auto" w:fill="D9D9D9" w:themeFill="background1" w:themeFillShade="D9"/>
            <w:vAlign w:val="center"/>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20. 9. 2013</w:t>
            </w:r>
          </w:p>
        </w:tc>
        <w:tc>
          <w:tcPr>
            <w:tcW w:w="1277"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44/360</w:t>
            </w:r>
          </w:p>
        </w:tc>
        <w:tc>
          <w:tcPr>
            <w:tcW w:w="181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0,9009</w:t>
            </w:r>
          </w:p>
        </w:tc>
      </w:tr>
      <w:tr w:rsidR="00D6513E" w:rsidRPr="00BA58DA" w:rsidTr="00BA58DA">
        <w:trPr>
          <w:trHeight w:val="300"/>
          <w:jc w:val="center"/>
        </w:trPr>
        <w:tc>
          <w:tcPr>
            <w:cnfStyle w:val="001000000000"/>
            <w:tcW w:w="2371" w:type="dxa"/>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8. 2013 - 7. 2. 2014</w:t>
            </w:r>
          </w:p>
        </w:tc>
        <w:tc>
          <w:tcPr>
            <w:tcW w:w="158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0,9034</w:t>
            </w:r>
          </w:p>
        </w:tc>
        <w:tc>
          <w:tcPr>
            <w:tcW w:w="1875" w:type="dxa"/>
            <w:vAlign w:val="center"/>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21. 3. 2014</w:t>
            </w:r>
          </w:p>
        </w:tc>
        <w:tc>
          <w:tcPr>
            <w:tcW w:w="1277"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42/360</w:t>
            </w:r>
          </w:p>
        </w:tc>
        <w:tc>
          <w:tcPr>
            <w:tcW w:w="181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0,8634</w:t>
            </w:r>
          </w:p>
        </w:tc>
      </w:tr>
      <w:tr w:rsidR="00D6513E" w:rsidRPr="00BA58DA" w:rsidTr="001433CF">
        <w:trPr>
          <w:cnfStyle w:val="000000100000"/>
          <w:trHeight w:val="300"/>
          <w:jc w:val="center"/>
        </w:trPr>
        <w:tc>
          <w:tcPr>
            <w:cnfStyle w:val="001000000000"/>
            <w:tcW w:w="2371" w:type="dxa"/>
            <w:shd w:val="clear" w:color="auto" w:fill="D9D9D9" w:themeFill="background1" w:themeFillShade="D9"/>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2. 2014 - 7. 8. 2014</w:t>
            </w:r>
          </w:p>
        </w:tc>
        <w:tc>
          <w:tcPr>
            <w:tcW w:w="158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0,8657</w:t>
            </w:r>
          </w:p>
        </w:tc>
        <w:tc>
          <w:tcPr>
            <w:tcW w:w="1875" w:type="dxa"/>
            <w:shd w:val="clear" w:color="auto" w:fill="D9D9D9" w:themeFill="background1" w:themeFillShade="D9"/>
            <w:vAlign w:val="center"/>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19. 9. 2014</w:t>
            </w:r>
          </w:p>
        </w:tc>
        <w:tc>
          <w:tcPr>
            <w:tcW w:w="1277"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43/360</w:t>
            </w:r>
          </w:p>
        </w:tc>
        <w:tc>
          <w:tcPr>
            <w:tcW w:w="181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0,7336</w:t>
            </w:r>
          </w:p>
        </w:tc>
      </w:tr>
      <w:tr w:rsidR="00D6513E" w:rsidRPr="00BA58DA" w:rsidTr="00BA58DA">
        <w:trPr>
          <w:trHeight w:val="300"/>
          <w:jc w:val="center"/>
        </w:trPr>
        <w:tc>
          <w:tcPr>
            <w:cnfStyle w:val="001000000000"/>
            <w:tcW w:w="2371" w:type="dxa"/>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8. 2014 - 7. 2. 2015</w:t>
            </w:r>
          </w:p>
        </w:tc>
        <w:tc>
          <w:tcPr>
            <w:tcW w:w="158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0,7356</w:t>
            </w:r>
          </w:p>
        </w:tc>
        <w:tc>
          <w:tcPr>
            <w:tcW w:w="1875" w:type="dxa"/>
            <w:vAlign w:val="center"/>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20. 3. 2015</w:t>
            </w:r>
          </w:p>
        </w:tc>
        <w:tc>
          <w:tcPr>
            <w:tcW w:w="1277"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41/360</w:t>
            </w:r>
          </w:p>
        </w:tc>
        <w:tc>
          <w:tcPr>
            <w:tcW w:w="181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0,9658</w:t>
            </w:r>
          </w:p>
        </w:tc>
      </w:tr>
      <w:tr w:rsidR="00D6513E" w:rsidRPr="00BA58DA" w:rsidTr="001433CF">
        <w:trPr>
          <w:cnfStyle w:val="000000100000"/>
          <w:trHeight w:val="300"/>
          <w:jc w:val="center"/>
        </w:trPr>
        <w:tc>
          <w:tcPr>
            <w:cnfStyle w:val="001000000000"/>
            <w:tcW w:w="2371" w:type="dxa"/>
            <w:shd w:val="clear" w:color="auto" w:fill="D9D9D9" w:themeFill="background1" w:themeFillShade="D9"/>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2. 2015 - 7. 8. 2015</w:t>
            </w:r>
          </w:p>
        </w:tc>
        <w:tc>
          <w:tcPr>
            <w:tcW w:w="158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0,9683</w:t>
            </w:r>
          </w:p>
        </w:tc>
        <w:tc>
          <w:tcPr>
            <w:tcW w:w="1875" w:type="dxa"/>
            <w:shd w:val="clear" w:color="auto" w:fill="D9D9D9" w:themeFill="background1" w:themeFillShade="D9"/>
            <w:vAlign w:val="center"/>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18. 9. 2015</w:t>
            </w:r>
          </w:p>
        </w:tc>
        <w:tc>
          <w:tcPr>
            <w:tcW w:w="1277"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42/360</w:t>
            </w:r>
          </w:p>
        </w:tc>
        <w:tc>
          <w:tcPr>
            <w:tcW w:w="181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0,9940</w:t>
            </w:r>
          </w:p>
        </w:tc>
      </w:tr>
      <w:tr w:rsidR="00D6513E" w:rsidRPr="00BA58DA" w:rsidTr="00BA58DA">
        <w:trPr>
          <w:trHeight w:val="300"/>
          <w:jc w:val="center"/>
        </w:trPr>
        <w:tc>
          <w:tcPr>
            <w:cnfStyle w:val="001000000000"/>
            <w:tcW w:w="2371" w:type="dxa"/>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8. 2015 - 7. 2. 2016</w:t>
            </w:r>
          </w:p>
        </w:tc>
        <w:tc>
          <w:tcPr>
            <w:tcW w:w="158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0,9967</w:t>
            </w:r>
          </w:p>
        </w:tc>
        <w:tc>
          <w:tcPr>
            <w:tcW w:w="1875" w:type="dxa"/>
            <w:vAlign w:val="center"/>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18. 3. 2016</w:t>
            </w:r>
          </w:p>
        </w:tc>
        <w:tc>
          <w:tcPr>
            <w:tcW w:w="1277"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39/360</w:t>
            </w:r>
          </w:p>
        </w:tc>
        <w:tc>
          <w:tcPr>
            <w:tcW w:w="181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0,8303</w:t>
            </w:r>
          </w:p>
        </w:tc>
      </w:tr>
      <w:tr w:rsidR="00D6513E" w:rsidRPr="00BA58DA" w:rsidTr="001433CF">
        <w:trPr>
          <w:cnfStyle w:val="000000100000"/>
          <w:trHeight w:val="300"/>
          <w:jc w:val="center"/>
        </w:trPr>
        <w:tc>
          <w:tcPr>
            <w:cnfStyle w:val="001000000000"/>
            <w:tcW w:w="2371" w:type="dxa"/>
            <w:shd w:val="clear" w:color="auto" w:fill="D9D9D9" w:themeFill="background1" w:themeFillShade="D9"/>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2. 2016 - 7. 8. 2016</w:t>
            </w:r>
          </w:p>
        </w:tc>
        <w:tc>
          <w:tcPr>
            <w:tcW w:w="158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0,8324</w:t>
            </w:r>
          </w:p>
        </w:tc>
        <w:tc>
          <w:tcPr>
            <w:tcW w:w="1875" w:type="dxa"/>
            <w:shd w:val="clear" w:color="auto" w:fill="D9D9D9" w:themeFill="background1" w:themeFillShade="D9"/>
            <w:vAlign w:val="center"/>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16. 9. 2016</w:t>
            </w:r>
          </w:p>
        </w:tc>
        <w:tc>
          <w:tcPr>
            <w:tcW w:w="1277"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40/360</w:t>
            </w:r>
          </w:p>
        </w:tc>
        <w:tc>
          <w:tcPr>
            <w:tcW w:w="181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0,8046</w:t>
            </w:r>
          </w:p>
        </w:tc>
      </w:tr>
      <w:tr w:rsidR="00D6513E" w:rsidRPr="00BA58DA" w:rsidTr="00BA58DA">
        <w:trPr>
          <w:trHeight w:val="300"/>
          <w:jc w:val="center"/>
        </w:trPr>
        <w:tc>
          <w:tcPr>
            <w:cnfStyle w:val="001000000000"/>
            <w:tcW w:w="2371" w:type="dxa"/>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8. 2016 - 7. 2. 2017</w:t>
            </w:r>
          </w:p>
        </w:tc>
        <w:tc>
          <w:tcPr>
            <w:tcW w:w="158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0,8067</w:t>
            </w:r>
          </w:p>
        </w:tc>
        <w:tc>
          <w:tcPr>
            <w:tcW w:w="1875" w:type="dxa"/>
            <w:vAlign w:val="center"/>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17. 3. 2017</w:t>
            </w:r>
          </w:p>
        </w:tc>
        <w:tc>
          <w:tcPr>
            <w:tcW w:w="1277"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38/360</w:t>
            </w:r>
          </w:p>
        </w:tc>
        <w:tc>
          <w:tcPr>
            <w:tcW w:w="181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0,7809</w:t>
            </w:r>
          </w:p>
        </w:tc>
      </w:tr>
      <w:tr w:rsidR="00D6513E" w:rsidRPr="00BA58DA" w:rsidTr="001433CF">
        <w:trPr>
          <w:cnfStyle w:val="000000100000"/>
          <w:trHeight w:val="300"/>
          <w:jc w:val="center"/>
        </w:trPr>
        <w:tc>
          <w:tcPr>
            <w:cnfStyle w:val="001000000000"/>
            <w:tcW w:w="2371" w:type="dxa"/>
            <w:shd w:val="clear" w:color="auto" w:fill="D9D9D9" w:themeFill="background1" w:themeFillShade="D9"/>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2. 2017 - 7. 8. 2017</w:t>
            </w:r>
          </w:p>
        </w:tc>
        <w:tc>
          <w:tcPr>
            <w:tcW w:w="158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0,7828</w:t>
            </w:r>
          </w:p>
        </w:tc>
        <w:tc>
          <w:tcPr>
            <w:tcW w:w="1875" w:type="dxa"/>
            <w:shd w:val="clear" w:color="auto" w:fill="D9D9D9" w:themeFill="background1" w:themeFillShade="D9"/>
            <w:vAlign w:val="center"/>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15. 9. 2017</w:t>
            </w:r>
          </w:p>
        </w:tc>
        <w:tc>
          <w:tcPr>
            <w:tcW w:w="1277"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39/360</w:t>
            </w:r>
          </w:p>
        </w:tc>
        <w:tc>
          <w:tcPr>
            <w:tcW w:w="181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0,7249</w:t>
            </w:r>
          </w:p>
        </w:tc>
      </w:tr>
      <w:tr w:rsidR="00D6513E" w:rsidRPr="00BA58DA" w:rsidTr="00BA58DA">
        <w:trPr>
          <w:trHeight w:val="300"/>
          <w:jc w:val="center"/>
        </w:trPr>
        <w:tc>
          <w:tcPr>
            <w:cnfStyle w:val="001000000000"/>
            <w:tcW w:w="2371" w:type="dxa"/>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8. 2017 - 7. 2. 2018</w:t>
            </w:r>
          </w:p>
        </w:tc>
        <w:tc>
          <w:tcPr>
            <w:tcW w:w="1586"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0,7267</w:t>
            </w:r>
          </w:p>
        </w:tc>
        <w:tc>
          <w:tcPr>
            <w:tcW w:w="1875" w:type="dxa"/>
            <w:vAlign w:val="center"/>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16. 3. 2018</w:t>
            </w:r>
          </w:p>
        </w:tc>
        <w:tc>
          <w:tcPr>
            <w:tcW w:w="1277" w:type="dxa"/>
            <w:noWrap/>
            <w:vAlign w:val="center"/>
            <w:hideMark/>
          </w:tcPr>
          <w:p w:rsidR="00D6513E" w:rsidRPr="00BA58DA" w:rsidRDefault="00D6513E" w:rsidP="00BA58DA">
            <w:pPr>
              <w:spacing w:line="276" w:lineRule="auto"/>
              <w:jc w:val="center"/>
              <w:cnfStyle w:val="000000000000"/>
              <w:rPr>
                <w:color w:val="000000"/>
                <w:sz w:val="24"/>
                <w:szCs w:val="24"/>
                <w:lang w:eastAsia="cs-CZ"/>
              </w:rPr>
            </w:pPr>
            <w:r w:rsidRPr="00BA58DA">
              <w:rPr>
                <w:color w:val="000000"/>
                <w:sz w:val="24"/>
                <w:szCs w:val="24"/>
                <w:lang w:eastAsia="cs-CZ"/>
              </w:rPr>
              <w:t>37/360</w:t>
            </w:r>
          </w:p>
        </w:tc>
        <w:tc>
          <w:tcPr>
            <w:tcW w:w="1816" w:type="dxa"/>
            <w:noWrap/>
            <w:vAlign w:val="center"/>
            <w:hideMark/>
          </w:tcPr>
          <w:p w:rsidR="00D6513E" w:rsidRPr="00BA58DA" w:rsidRDefault="00D6513E" w:rsidP="00BA58DA">
            <w:pPr>
              <w:keepNext/>
              <w:spacing w:line="276" w:lineRule="auto"/>
              <w:jc w:val="center"/>
              <w:cnfStyle w:val="000000000000"/>
              <w:rPr>
                <w:color w:val="000000"/>
                <w:sz w:val="24"/>
                <w:szCs w:val="24"/>
                <w:lang w:eastAsia="cs-CZ"/>
              </w:rPr>
            </w:pPr>
            <w:r w:rsidRPr="00BA58DA">
              <w:rPr>
                <w:color w:val="000000"/>
                <w:sz w:val="24"/>
                <w:szCs w:val="24"/>
                <w:lang w:eastAsia="cs-CZ"/>
              </w:rPr>
              <w:t>0,6453</w:t>
            </w:r>
          </w:p>
        </w:tc>
      </w:tr>
      <w:tr w:rsidR="00D6513E" w:rsidRPr="00BA58DA" w:rsidTr="001433CF">
        <w:trPr>
          <w:cnfStyle w:val="000000100000"/>
          <w:trHeight w:val="300"/>
          <w:jc w:val="center"/>
        </w:trPr>
        <w:tc>
          <w:tcPr>
            <w:cnfStyle w:val="001000000000"/>
            <w:tcW w:w="2371" w:type="dxa"/>
            <w:shd w:val="clear" w:color="auto" w:fill="D9D9D9" w:themeFill="background1" w:themeFillShade="D9"/>
            <w:noWrap/>
            <w:vAlign w:val="center"/>
            <w:hideMark/>
          </w:tcPr>
          <w:p w:rsidR="00D6513E" w:rsidRPr="00BA58DA" w:rsidRDefault="00D6513E" w:rsidP="00BA58DA">
            <w:pPr>
              <w:spacing w:line="276" w:lineRule="auto"/>
              <w:jc w:val="center"/>
              <w:rPr>
                <w:b w:val="0"/>
                <w:color w:val="000000"/>
                <w:sz w:val="24"/>
                <w:szCs w:val="24"/>
                <w:lang w:eastAsia="cs-CZ"/>
              </w:rPr>
            </w:pPr>
            <w:r w:rsidRPr="00BA58DA">
              <w:rPr>
                <w:b w:val="0"/>
                <w:color w:val="000000"/>
                <w:sz w:val="24"/>
                <w:szCs w:val="24"/>
                <w:lang w:eastAsia="cs-CZ"/>
              </w:rPr>
              <w:t>7. 2. 2018</w:t>
            </w:r>
          </w:p>
        </w:tc>
        <w:tc>
          <w:tcPr>
            <w:tcW w:w="1586"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r w:rsidRPr="00BA58DA">
              <w:rPr>
                <w:color w:val="000000"/>
                <w:sz w:val="24"/>
                <w:szCs w:val="24"/>
                <w:lang w:eastAsia="cs-CZ"/>
              </w:rPr>
              <w:t>0,6468</w:t>
            </w:r>
          </w:p>
        </w:tc>
        <w:tc>
          <w:tcPr>
            <w:tcW w:w="1875" w:type="dxa"/>
            <w:shd w:val="clear" w:color="auto" w:fill="D9D9D9" w:themeFill="background1" w:themeFillShade="D9"/>
            <w:vAlign w:val="center"/>
          </w:tcPr>
          <w:p w:rsidR="00D6513E" w:rsidRPr="00BA58DA" w:rsidRDefault="00D6513E" w:rsidP="00BA58DA">
            <w:pPr>
              <w:spacing w:line="276" w:lineRule="auto"/>
              <w:jc w:val="center"/>
              <w:cnfStyle w:val="000000100000"/>
              <w:rPr>
                <w:color w:val="000000"/>
                <w:sz w:val="24"/>
                <w:szCs w:val="24"/>
                <w:lang w:eastAsia="cs-CZ"/>
              </w:rPr>
            </w:pPr>
          </w:p>
        </w:tc>
        <w:tc>
          <w:tcPr>
            <w:tcW w:w="1277" w:type="dxa"/>
            <w:shd w:val="clear" w:color="auto" w:fill="D9D9D9" w:themeFill="background1" w:themeFillShade="D9"/>
            <w:noWrap/>
            <w:vAlign w:val="center"/>
            <w:hideMark/>
          </w:tcPr>
          <w:p w:rsidR="00D6513E" w:rsidRPr="00BA58DA" w:rsidRDefault="00D6513E" w:rsidP="00BA58DA">
            <w:pPr>
              <w:spacing w:line="276" w:lineRule="auto"/>
              <w:jc w:val="center"/>
              <w:cnfStyle w:val="000000100000"/>
              <w:rPr>
                <w:color w:val="000000"/>
                <w:sz w:val="24"/>
                <w:szCs w:val="24"/>
                <w:lang w:eastAsia="cs-CZ"/>
              </w:rPr>
            </w:pPr>
          </w:p>
        </w:tc>
        <w:tc>
          <w:tcPr>
            <w:tcW w:w="1816" w:type="dxa"/>
            <w:shd w:val="clear" w:color="auto" w:fill="D9D9D9" w:themeFill="background1" w:themeFillShade="D9"/>
            <w:noWrap/>
            <w:vAlign w:val="center"/>
            <w:hideMark/>
          </w:tcPr>
          <w:p w:rsidR="00D6513E" w:rsidRPr="00BA58DA" w:rsidRDefault="00D6513E" w:rsidP="00BA58DA">
            <w:pPr>
              <w:keepNext/>
              <w:spacing w:line="276" w:lineRule="auto"/>
              <w:jc w:val="center"/>
              <w:cnfStyle w:val="000000100000"/>
              <w:rPr>
                <w:color w:val="000000"/>
                <w:sz w:val="24"/>
                <w:szCs w:val="24"/>
                <w:lang w:eastAsia="cs-CZ"/>
              </w:rPr>
            </w:pPr>
          </w:p>
        </w:tc>
      </w:tr>
    </w:tbl>
    <w:p w:rsidR="006326EB" w:rsidRDefault="00BA58DA" w:rsidP="00BA58DA">
      <w:pPr>
        <w:spacing w:before="240" w:line="276" w:lineRule="auto"/>
        <w:jc w:val="both"/>
        <w:rPr>
          <w:i/>
          <w:sz w:val="20"/>
        </w:rPr>
      </w:pPr>
      <w:r>
        <w:rPr>
          <w:i/>
          <w:sz w:val="20"/>
        </w:rPr>
        <w:t xml:space="preserve">Pramen: </w:t>
      </w:r>
      <w:r w:rsidR="00D6513E" w:rsidRPr="00BA58DA">
        <w:rPr>
          <w:i/>
          <w:sz w:val="20"/>
        </w:rPr>
        <w:t>Vlastní konstrukce</w:t>
      </w:r>
      <w:r>
        <w:rPr>
          <w:i/>
          <w:sz w:val="20"/>
        </w:rPr>
        <w:t xml:space="preserve">. </w:t>
      </w:r>
    </w:p>
    <w:p w:rsidR="00D6513E" w:rsidRDefault="006326EB" w:rsidP="00BA58DA">
      <w:pPr>
        <w:spacing w:after="240" w:line="276" w:lineRule="auto"/>
        <w:jc w:val="both"/>
        <w:rPr>
          <w:i/>
          <w:sz w:val="20"/>
        </w:rPr>
      </w:pPr>
      <w:r>
        <w:rPr>
          <w:i/>
          <w:sz w:val="20"/>
        </w:rPr>
        <w:t>Měnové kurzy</w:t>
      </w:r>
      <w:r w:rsidR="00BA58DA">
        <w:rPr>
          <w:i/>
          <w:sz w:val="20"/>
        </w:rPr>
        <w:t xml:space="preserve"> uvedeny v jednotkách EUR/USD.</w:t>
      </w:r>
    </w:p>
    <w:p w:rsidR="00BA58DA" w:rsidRPr="00BA58DA" w:rsidRDefault="00BA58DA" w:rsidP="00BA58DA">
      <w:pPr>
        <w:spacing w:before="240" w:after="240" w:line="276" w:lineRule="auto"/>
        <w:jc w:val="both"/>
      </w:pPr>
    </w:p>
    <w:p w:rsidR="00D6513E" w:rsidRDefault="00BA58DA" w:rsidP="00D6513E">
      <w:pPr>
        <w:spacing w:after="240" w:line="276" w:lineRule="auto"/>
      </w:pPr>
      <w:r>
        <w:t>V T</w:t>
      </w:r>
      <w:r w:rsidR="00D6513E">
        <w:t xml:space="preserve">abulce </w:t>
      </w:r>
      <w:r>
        <w:t>10</w:t>
      </w:r>
      <w:r w:rsidR="00D6513E">
        <w:t xml:space="preserve"> jsou pro přehlednost shrnuty jednotlivé měnové kurz</w:t>
      </w:r>
      <w:r w:rsidR="004D0385">
        <w:t>y</w:t>
      </w:r>
      <w:r w:rsidR="00D6513E">
        <w:t xml:space="preserve"> pro daná období. </w:t>
      </w:r>
    </w:p>
    <w:p w:rsidR="00BA58DA" w:rsidRPr="00C225BA" w:rsidRDefault="00BA58DA" w:rsidP="00D6513E">
      <w:pPr>
        <w:spacing w:after="240" w:line="276" w:lineRule="auto"/>
      </w:pPr>
    </w:p>
    <w:p w:rsidR="00BA58DA" w:rsidRPr="00BA58DA" w:rsidRDefault="00BA58DA" w:rsidP="00BA58DA">
      <w:pPr>
        <w:pStyle w:val="Titulek"/>
        <w:keepNext/>
        <w:spacing w:line="276" w:lineRule="auto"/>
        <w:jc w:val="both"/>
        <w:rPr>
          <w:rFonts w:ascii="Times New Roman" w:hAnsi="Times New Roman" w:cs="Times New Roman"/>
          <w:b w:val="0"/>
          <w:color w:val="auto"/>
          <w:sz w:val="24"/>
        </w:rPr>
      </w:pPr>
      <w:bookmarkStart w:id="93" w:name="_Toc354393033"/>
      <w:r w:rsidRPr="00BA58DA">
        <w:rPr>
          <w:rFonts w:ascii="Times New Roman" w:hAnsi="Times New Roman" w:cs="Times New Roman"/>
          <w:b w:val="0"/>
          <w:color w:val="auto"/>
          <w:sz w:val="24"/>
        </w:rPr>
        <w:t xml:space="preserve">Tabulka </w:t>
      </w:r>
      <w:r w:rsidR="00FA567C" w:rsidRPr="00BA58DA">
        <w:rPr>
          <w:rFonts w:ascii="Times New Roman" w:hAnsi="Times New Roman" w:cs="Times New Roman"/>
          <w:b w:val="0"/>
          <w:color w:val="auto"/>
          <w:sz w:val="24"/>
        </w:rPr>
        <w:fldChar w:fldCharType="begin"/>
      </w:r>
      <w:r w:rsidRPr="00BA58DA">
        <w:rPr>
          <w:rFonts w:ascii="Times New Roman" w:hAnsi="Times New Roman" w:cs="Times New Roman"/>
          <w:b w:val="0"/>
          <w:color w:val="auto"/>
          <w:sz w:val="24"/>
        </w:rPr>
        <w:instrText xml:space="preserve"> SEQ Tabulka \* ARABIC </w:instrText>
      </w:r>
      <w:r w:rsidR="00FA567C" w:rsidRPr="00BA58DA">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10</w:t>
      </w:r>
      <w:r w:rsidR="00FA567C" w:rsidRPr="00BA58DA">
        <w:rPr>
          <w:rFonts w:ascii="Times New Roman" w:hAnsi="Times New Roman" w:cs="Times New Roman"/>
          <w:b w:val="0"/>
          <w:color w:val="auto"/>
          <w:sz w:val="24"/>
        </w:rPr>
        <w:fldChar w:fldCharType="end"/>
      </w:r>
      <w:r w:rsidRPr="00BA58DA">
        <w:rPr>
          <w:rFonts w:ascii="Times New Roman" w:hAnsi="Times New Roman" w:cs="Times New Roman"/>
          <w:b w:val="0"/>
          <w:color w:val="auto"/>
          <w:sz w:val="24"/>
        </w:rPr>
        <w:t>: Spotové a futures měnové kurzy pro jednotlivá období</w:t>
      </w:r>
      <w:bookmarkEnd w:id="93"/>
    </w:p>
    <w:tbl>
      <w:tblPr>
        <w:tblStyle w:val="Svtlstnovn1"/>
        <w:tblW w:w="4351" w:type="pct"/>
        <w:jc w:val="center"/>
        <w:tblLayout w:type="fixed"/>
        <w:tblLook w:val="04A0"/>
      </w:tblPr>
      <w:tblGrid>
        <w:gridCol w:w="2541"/>
        <w:gridCol w:w="2057"/>
        <w:gridCol w:w="1784"/>
        <w:gridCol w:w="1699"/>
      </w:tblGrid>
      <w:tr w:rsidR="00D6513E" w:rsidRPr="00445B8E" w:rsidTr="00BA58DA">
        <w:trPr>
          <w:cnfStyle w:val="100000000000"/>
          <w:trHeight w:val="330"/>
          <w:jc w:val="center"/>
        </w:trPr>
        <w:tc>
          <w:tcPr>
            <w:cnfStyle w:val="001000000000"/>
            <w:tcW w:w="1572" w:type="pct"/>
            <w:noWrap/>
            <w:vAlign w:val="center"/>
            <w:hideMark/>
          </w:tcPr>
          <w:p w:rsidR="00D6513E" w:rsidRPr="00445B8E" w:rsidRDefault="00BA58DA" w:rsidP="00BA58DA">
            <w:pPr>
              <w:spacing w:line="276" w:lineRule="auto"/>
              <w:jc w:val="center"/>
              <w:rPr>
                <w:color w:val="000000"/>
                <w:sz w:val="24"/>
                <w:szCs w:val="24"/>
                <w:lang w:eastAsia="cs-CZ"/>
              </w:rPr>
            </w:pPr>
            <w:r>
              <w:rPr>
                <w:color w:val="000000"/>
                <w:sz w:val="24"/>
                <w:szCs w:val="24"/>
                <w:lang w:eastAsia="cs-CZ"/>
              </w:rPr>
              <w:t>Období</w:t>
            </w:r>
          </w:p>
        </w:tc>
        <w:tc>
          <w:tcPr>
            <w:tcW w:w="1273" w:type="pct"/>
            <w:noWrap/>
            <w:vAlign w:val="center"/>
            <w:hideMark/>
          </w:tcPr>
          <w:p w:rsidR="00D6513E" w:rsidRPr="00445B8E" w:rsidRDefault="00D6513E" w:rsidP="00BA58DA">
            <w:pPr>
              <w:spacing w:line="276" w:lineRule="auto"/>
              <w:jc w:val="center"/>
              <w:cnfStyle w:val="100000000000"/>
              <w:rPr>
                <w:color w:val="000000"/>
                <w:sz w:val="24"/>
                <w:szCs w:val="24"/>
                <w:lang w:eastAsia="cs-CZ"/>
              </w:rPr>
            </w:pPr>
            <w:r w:rsidRPr="00445B8E">
              <w:rPr>
                <w:color w:val="000000"/>
                <w:sz w:val="24"/>
                <w:szCs w:val="24"/>
                <w:lang w:eastAsia="cs-CZ"/>
              </w:rPr>
              <w:t>Futures prodej</w:t>
            </w:r>
          </w:p>
        </w:tc>
        <w:tc>
          <w:tcPr>
            <w:tcW w:w="1104" w:type="pct"/>
            <w:noWrap/>
            <w:vAlign w:val="center"/>
            <w:hideMark/>
          </w:tcPr>
          <w:p w:rsidR="00D6513E" w:rsidRPr="00445B8E" w:rsidRDefault="00D6513E" w:rsidP="00BA58DA">
            <w:pPr>
              <w:spacing w:line="276" w:lineRule="auto"/>
              <w:jc w:val="center"/>
              <w:cnfStyle w:val="100000000000"/>
              <w:rPr>
                <w:color w:val="000000"/>
                <w:sz w:val="24"/>
                <w:szCs w:val="24"/>
                <w:lang w:eastAsia="cs-CZ"/>
              </w:rPr>
            </w:pPr>
            <w:r w:rsidRPr="00445B8E">
              <w:rPr>
                <w:color w:val="000000"/>
                <w:sz w:val="24"/>
                <w:szCs w:val="24"/>
                <w:lang w:eastAsia="cs-CZ"/>
              </w:rPr>
              <w:t>Futures nákup</w:t>
            </w:r>
          </w:p>
        </w:tc>
        <w:tc>
          <w:tcPr>
            <w:tcW w:w="1052" w:type="pct"/>
            <w:noWrap/>
            <w:vAlign w:val="center"/>
            <w:hideMark/>
          </w:tcPr>
          <w:p w:rsidR="00D6513E" w:rsidRPr="00445B8E" w:rsidRDefault="00D6513E" w:rsidP="00BA58DA">
            <w:pPr>
              <w:spacing w:line="276" w:lineRule="auto"/>
              <w:jc w:val="center"/>
              <w:cnfStyle w:val="100000000000"/>
              <w:rPr>
                <w:color w:val="000000"/>
                <w:sz w:val="24"/>
                <w:szCs w:val="24"/>
                <w:lang w:eastAsia="cs-CZ"/>
              </w:rPr>
            </w:pPr>
            <w:r w:rsidRPr="00445B8E">
              <w:rPr>
                <w:color w:val="000000"/>
                <w:sz w:val="24"/>
                <w:szCs w:val="24"/>
                <w:lang w:eastAsia="cs-CZ"/>
              </w:rPr>
              <w:t>Spotová cena</w:t>
            </w:r>
          </w:p>
        </w:tc>
      </w:tr>
      <w:tr w:rsidR="00D6513E" w:rsidRPr="00445B8E" w:rsidTr="001433CF">
        <w:trPr>
          <w:cnfStyle w:val="000000100000"/>
          <w:trHeight w:val="315"/>
          <w:jc w:val="center"/>
        </w:trPr>
        <w:tc>
          <w:tcPr>
            <w:cnfStyle w:val="001000000000"/>
            <w:tcW w:w="1572" w:type="pct"/>
            <w:shd w:val="clear" w:color="auto" w:fill="D9D9D9" w:themeFill="background1" w:themeFillShade="D9"/>
            <w:noWrap/>
            <w:vAlign w:val="center"/>
            <w:hideMark/>
          </w:tcPr>
          <w:p w:rsidR="00D6513E" w:rsidRPr="00445B8E" w:rsidRDefault="006326EB" w:rsidP="00BA58DA">
            <w:pPr>
              <w:spacing w:line="276" w:lineRule="auto"/>
              <w:jc w:val="center"/>
              <w:rPr>
                <w:b w:val="0"/>
                <w:color w:val="000000"/>
                <w:sz w:val="24"/>
                <w:szCs w:val="24"/>
                <w:lang w:eastAsia="cs-CZ"/>
              </w:rPr>
            </w:pPr>
            <w:r>
              <w:rPr>
                <w:b w:val="0"/>
                <w:color w:val="000000"/>
                <w:sz w:val="24"/>
                <w:szCs w:val="24"/>
                <w:lang w:eastAsia="cs-CZ"/>
              </w:rPr>
              <w:t>7. 2. 2013 -</w:t>
            </w:r>
            <w:r w:rsidR="00D6513E" w:rsidRPr="00445B8E">
              <w:rPr>
                <w:b w:val="0"/>
                <w:color w:val="000000"/>
                <w:sz w:val="24"/>
                <w:szCs w:val="24"/>
                <w:lang w:eastAsia="cs-CZ"/>
              </w:rPr>
              <w:t xml:space="preserve"> 7. 8. 2013</w:t>
            </w:r>
          </w:p>
        </w:tc>
        <w:tc>
          <w:tcPr>
            <w:tcW w:w="1273"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Pr>
                <w:color w:val="000000"/>
                <w:sz w:val="24"/>
                <w:szCs w:val="24"/>
                <w:lang w:eastAsia="cs-CZ"/>
              </w:rPr>
              <w:t>0,756</w:t>
            </w:r>
            <w:r w:rsidR="00385387">
              <w:rPr>
                <w:color w:val="000000"/>
                <w:sz w:val="24"/>
                <w:szCs w:val="24"/>
                <w:lang w:eastAsia="cs-CZ"/>
              </w:rPr>
              <w:t>1</w:t>
            </w:r>
          </w:p>
        </w:tc>
        <w:tc>
          <w:tcPr>
            <w:tcW w:w="1104"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0,9009</w:t>
            </w:r>
          </w:p>
        </w:tc>
        <w:tc>
          <w:tcPr>
            <w:tcW w:w="1052"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0,9034</w:t>
            </w:r>
          </w:p>
        </w:tc>
      </w:tr>
      <w:tr w:rsidR="00D6513E" w:rsidRPr="00445B8E" w:rsidTr="00BA58DA">
        <w:trPr>
          <w:trHeight w:val="315"/>
          <w:jc w:val="center"/>
        </w:trPr>
        <w:tc>
          <w:tcPr>
            <w:cnfStyle w:val="001000000000"/>
            <w:tcW w:w="1572" w:type="pct"/>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2013 - 7. 2. 2014</w:t>
            </w:r>
          </w:p>
        </w:tc>
        <w:tc>
          <w:tcPr>
            <w:tcW w:w="1273"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0,9152</w:t>
            </w:r>
          </w:p>
        </w:tc>
        <w:tc>
          <w:tcPr>
            <w:tcW w:w="1104"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0,8634</w:t>
            </w:r>
          </w:p>
        </w:tc>
        <w:tc>
          <w:tcPr>
            <w:tcW w:w="1052"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0,8657</w:t>
            </w:r>
          </w:p>
        </w:tc>
      </w:tr>
      <w:tr w:rsidR="00D6513E" w:rsidRPr="00445B8E" w:rsidTr="001433CF">
        <w:trPr>
          <w:cnfStyle w:val="000000100000"/>
          <w:trHeight w:val="315"/>
          <w:jc w:val="center"/>
        </w:trPr>
        <w:tc>
          <w:tcPr>
            <w:cnfStyle w:val="001000000000"/>
            <w:tcW w:w="1572" w:type="pct"/>
            <w:shd w:val="clear" w:color="auto" w:fill="D9D9D9" w:themeFill="background1" w:themeFillShade="D9"/>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2014 - 7. 8. 2014</w:t>
            </w:r>
          </w:p>
        </w:tc>
        <w:tc>
          <w:tcPr>
            <w:tcW w:w="1273"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0,8769</w:t>
            </w:r>
          </w:p>
        </w:tc>
        <w:tc>
          <w:tcPr>
            <w:tcW w:w="1104"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0,7336</w:t>
            </w:r>
          </w:p>
        </w:tc>
        <w:tc>
          <w:tcPr>
            <w:tcW w:w="1052"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0,7356</w:t>
            </w:r>
          </w:p>
        </w:tc>
      </w:tr>
      <w:tr w:rsidR="00D6513E" w:rsidRPr="00445B8E" w:rsidTr="00BA58DA">
        <w:trPr>
          <w:trHeight w:val="315"/>
          <w:jc w:val="center"/>
        </w:trPr>
        <w:tc>
          <w:tcPr>
            <w:cnfStyle w:val="001000000000"/>
            <w:tcW w:w="1572" w:type="pct"/>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2014 - 7. 2. 2015</w:t>
            </w:r>
          </w:p>
        </w:tc>
        <w:tc>
          <w:tcPr>
            <w:tcW w:w="1273"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0,7451</w:t>
            </w:r>
          </w:p>
        </w:tc>
        <w:tc>
          <w:tcPr>
            <w:tcW w:w="1104"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0,9658</w:t>
            </w:r>
          </w:p>
        </w:tc>
        <w:tc>
          <w:tcPr>
            <w:tcW w:w="1052"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0,9683</w:t>
            </w:r>
          </w:p>
        </w:tc>
      </w:tr>
      <w:tr w:rsidR="00D6513E" w:rsidRPr="00445B8E" w:rsidTr="001433CF">
        <w:trPr>
          <w:cnfStyle w:val="000000100000"/>
          <w:trHeight w:val="315"/>
          <w:jc w:val="center"/>
        </w:trPr>
        <w:tc>
          <w:tcPr>
            <w:cnfStyle w:val="001000000000"/>
            <w:tcW w:w="1572" w:type="pct"/>
            <w:shd w:val="clear" w:color="auto" w:fill="D9D9D9" w:themeFill="background1" w:themeFillShade="D9"/>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2015 - 7. 8. 2015</w:t>
            </w:r>
          </w:p>
        </w:tc>
        <w:tc>
          <w:tcPr>
            <w:tcW w:w="1273"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0,9807</w:t>
            </w:r>
          </w:p>
        </w:tc>
        <w:tc>
          <w:tcPr>
            <w:tcW w:w="1104"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0,994</w:t>
            </w:r>
          </w:p>
        </w:tc>
        <w:tc>
          <w:tcPr>
            <w:tcW w:w="1052"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0,9967</w:t>
            </w:r>
          </w:p>
        </w:tc>
      </w:tr>
      <w:tr w:rsidR="00D6513E" w:rsidRPr="00445B8E" w:rsidTr="00BA58DA">
        <w:trPr>
          <w:trHeight w:val="315"/>
          <w:jc w:val="center"/>
        </w:trPr>
        <w:tc>
          <w:tcPr>
            <w:cnfStyle w:val="001000000000"/>
            <w:tcW w:w="1572" w:type="pct"/>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2015 - 7. 2. 2016</w:t>
            </w:r>
          </w:p>
        </w:tc>
        <w:tc>
          <w:tcPr>
            <w:tcW w:w="1273"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1,0095</w:t>
            </w:r>
          </w:p>
        </w:tc>
        <w:tc>
          <w:tcPr>
            <w:tcW w:w="1104"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0,8303</w:t>
            </w:r>
          </w:p>
        </w:tc>
        <w:tc>
          <w:tcPr>
            <w:tcW w:w="1052"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0,8324</w:t>
            </w:r>
          </w:p>
        </w:tc>
      </w:tr>
      <w:tr w:rsidR="00D6513E" w:rsidRPr="00445B8E" w:rsidTr="001433CF">
        <w:trPr>
          <w:cnfStyle w:val="000000100000"/>
          <w:trHeight w:val="315"/>
          <w:jc w:val="center"/>
        </w:trPr>
        <w:tc>
          <w:tcPr>
            <w:cnfStyle w:val="001000000000"/>
            <w:tcW w:w="1572" w:type="pct"/>
            <w:shd w:val="clear" w:color="auto" w:fill="D9D9D9" w:themeFill="background1" w:themeFillShade="D9"/>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2016 - 7. 8. 2016</w:t>
            </w:r>
          </w:p>
        </w:tc>
        <w:tc>
          <w:tcPr>
            <w:tcW w:w="1273"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0,8431</w:t>
            </w:r>
          </w:p>
        </w:tc>
        <w:tc>
          <w:tcPr>
            <w:tcW w:w="1104"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0,8046</w:t>
            </w:r>
          </w:p>
        </w:tc>
        <w:tc>
          <w:tcPr>
            <w:tcW w:w="1052"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0,8067</w:t>
            </w:r>
          </w:p>
        </w:tc>
      </w:tr>
      <w:tr w:rsidR="00D6513E" w:rsidRPr="00445B8E" w:rsidTr="00BA58DA">
        <w:trPr>
          <w:trHeight w:val="315"/>
          <w:jc w:val="center"/>
        </w:trPr>
        <w:tc>
          <w:tcPr>
            <w:cnfStyle w:val="001000000000"/>
            <w:tcW w:w="1572" w:type="pct"/>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2016 - 7. 2. 2017</w:t>
            </w:r>
          </w:p>
        </w:tc>
        <w:tc>
          <w:tcPr>
            <w:tcW w:w="1273"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0,817</w:t>
            </w:r>
          </w:p>
        </w:tc>
        <w:tc>
          <w:tcPr>
            <w:tcW w:w="1104"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0,7809</w:t>
            </w:r>
          </w:p>
        </w:tc>
        <w:tc>
          <w:tcPr>
            <w:tcW w:w="1052"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0,7828</w:t>
            </w:r>
          </w:p>
        </w:tc>
      </w:tr>
      <w:tr w:rsidR="00D6513E" w:rsidRPr="00445B8E" w:rsidTr="001433CF">
        <w:trPr>
          <w:cnfStyle w:val="000000100000"/>
          <w:trHeight w:val="315"/>
          <w:jc w:val="center"/>
        </w:trPr>
        <w:tc>
          <w:tcPr>
            <w:cnfStyle w:val="001000000000"/>
            <w:tcW w:w="1572" w:type="pct"/>
            <w:shd w:val="clear" w:color="auto" w:fill="D9D9D9" w:themeFill="background1" w:themeFillShade="D9"/>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2017 - 7. 8. 2017</w:t>
            </w:r>
          </w:p>
        </w:tc>
        <w:tc>
          <w:tcPr>
            <w:tcW w:w="1273"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0,7927</w:t>
            </w:r>
          </w:p>
        </w:tc>
        <w:tc>
          <w:tcPr>
            <w:tcW w:w="1104"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0,7249</w:t>
            </w:r>
          </w:p>
        </w:tc>
        <w:tc>
          <w:tcPr>
            <w:tcW w:w="1052" w:type="pct"/>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0,7267</w:t>
            </w:r>
          </w:p>
        </w:tc>
      </w:tr>
      <w:tr w:rsidR="00D6513E" w:rsidRPr="00445B8E" w:rsidTr="00BA58DA">
        <w:trPr>
          <w:trHeight w:val="315"/>
          <w:jc w:val="center"/>
        </w:trPr>
        <w:tc>
          <w:tcPr>
            <w:cnfStyle w:val="001000000000"/>
            <w:tcW w:w="1572" w:type="pct"/>
            <w:noWrap/>
            <w:vAlign w:val="center"/>
            <w:hideMark/>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2017 - 7. 2. 2018</w:t>
            </w:r>
          </w:p>
        </w:tc>
        <w:tc>
          <w:tcPr>
            <w:tcW w:w="1273"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0,7359</w:t>
            </w:r>
          </w:p>
        </w:tc>
        <w:tc>
          <w:tcPr>
            <w:tcW w:w="1104" w:type="pct"/>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0,6453</w:t>
            </w:r>
          </w:p>
        </w:tc>
        <w:tc>
          <w:tcPr>
            <w:tcW w:w="1052" w:type="pct"/>
            <w:noWrap/>
            <w:vAlign w:val="center"/>
            <w:hideMark/>
          </w:tcPr>
          <w:p w:rsidR="00D6513E" w:rsidRPr="00445B8E" w:rsidRDefault="00D6513E" w:rsidP="00BA58DA">
            <w:pPr>
              <w:keepNext/>
              <w:spacing w:line="276" w:lineRule="auto"/>
              <w:jc w:val="center"/>
              <w:cnfStyle w:val="000000000000"/>
              <w:rPr>
                <w:color w:val="000000"/>
                <w:sz w:val="24"/>
                <w:szCs w:val="24"/>
                <w:lang w:eastAsia="cs-CZ"/>
              </w:rPr>
            </w:pPr>
            <w:r w:rsidRPr="00445B8E">
              <w:rPr>
                <w:color w:val="000000"/>
                <w:sz w:val="24"/>
                <w:szCs w:val="24"/>
                <w:lang w:eastAsia="cs-CZ"/>
              </w:rPr>
              <w:t>0,6468</w:t>
            </w:r>
          </w:p>
        </w:tc>
      </w:tr>
    </w:tbl>
    <w:p w:rsidR="006326EB" w:rsidRDefault="00BA58DA" w:rsidP="00BA58DA">
      <w:pPr>
        <w:spacing w:before="240" w:line="276" w:lineRule="auto"/>
        <w:jc w:val="both"/>
        <w:rPr>
          <w:i/>
          <w:sz w:val="20"/>
        </w:rPr>
      </w:pPr>
      <w:r>
        <w:rPr>
          <w:i/>
          <w:sz w:val="20"/>
        </w:rPr>
        <w:t xml:space="preserve">Pramen: Vlastní zpracování. </w:t>
      </w:r>
    </w:p>
    <w:p w:rsidR="00D6513E" w:rsidRDefault="006326EB" w:rsidP="00BA58DA">
      <w:pPr>
        <w:spacing w:after="240" w:line="276" w:lineRule="auto"/>
        <w:jc w:val="both"/>
        <w:rPr>
          <w:i/>
          <w:sz w:val="20"/>
        </w:rPr>
      </w:pPr>
      <w:r>
        <w:rPr>
          <w:i/>
          <w:sz w:val="20"/>
        </w:rPr>
        <w:t>Měnové kurzy</w:t>
      </w:r>
      <w:r w:rsidR="00BA58DA">
        <w:rPr>
          <w:i/>
          <w:sz w:val="20"/>
        </w:rPr>
        <w:t xml:space="preserve"> uvedeny v jednotkách EUR/USD.</w:t>
      </w:r>
    </w:p>
    <w:p w:rsidR="00BA58DA" w:rsidRPr="00BA58DA" w:rsidRDefault="00BA58DA" w:rsidP="00BA58DA">
      <w:pPr>
        <w:spacing w:before="240" w:after="240" w:line="276" w:lineRule="auto"/>
        <w:jc w:val="both"/>
      </w:pPr>
    </w:p>
    <w:p w:rsidR="00D6513E" w:rsidRDefault="00D6513E" w:rsidP="00D6513E">
      <w:pPr>
        <w:spacing w:after="240" w:line="276" w:lineRule="auto"/>
        <w:jc w:val="both"/>
      </w:pPr>
      <w:r>
        <w:t>Z</w:t>
      </w:r>
      <w:r w:rsidR="004D0385">
        <w:t>e</w:t>
      </w:r>
      <w:r>
        <w:t> tří hod</w:t>
      </w:r>
      <w:r w:rsidR="00BA58DA">
        <w:t>not měnových kurzů uvedených v T</w:t>
      </w:r>
      <w:r>
        <w:t xml:space="preserve">abulce </w:t>
      </w:r>
      <w:r w:rsidR="00BA58DA">
        <w:t>10</w:t>
      </w:r>
      <w:r>
        <w:t xml:space="preserve"> lze spočítat efektivní cenu futures kontraktu neboli efektivní měnový kurz pro jednotlivá období. Z efektivní ceny pak </w:t>
      </w:r>
      <w:r w:rsidR="004D0385">
        <w:t>lze získat</w:t>
      </w:r>
      <w:r>
        <w:t xml:space="preserve"> konečný výsledek, </w:t>
      </w:r>
      <w:r w:rsidR="00BA58DA">
        <w:t xml:space="preserve">tedy </w:t>
      </w:r>
      <w:r>
        <w:t xml:space="preserve">kolik společnost </w:t>
      </w:r>
      <w:r w:rsidR="00361DA1">
        <w:t>Delor</w:t>
      </w:r>
      <w:r>
        <w:t xml:space="preserve"> za jednotlivá období reálně zaplatí. Tyto</w:t>
      </w:r>
      <w:r w:rsidR="006326EB">
        <w:t> </w:t>
      </w:r>
      <w:r>
        <w:t>výsledky představuje sloupec „Se zajištěním“</w:t>
      </w:r>
      <w:r w:rsidR="004D0385">
        <w:t xml:space="preserve"> v Tabulce 11</w:t>
      </w:r>
      <w:r>
        <w:t xml:space="preserve">. Výsledné hodnoty </w:t>
      </w:r>
      <w:r w:rsidR="004D0385">
        <w:lastRenderedPageBreak/>
        <w:t>lze</w:t>
      </w:r>
      <w:r w:rsidR="006326EB">
        <w:t> </w:t>
      </w:r>
      <w:r>
        <w:t>porovnat se situaci, kdy by k žádnému zajištění ze strany</w:t>
      </w:r>
      <w:r w:rsidRPr="004D0676">
        <w:t xml:space="preserve"> </w:t>
      </w:r>
      <w:r>
        <w:t xml:space="preserve">společnosti </w:t>
      </w:r>
      <w:r w:rsidR="00361DA1">
        <w:t>Delor</w:t>
      </w:r>
      <w:r>
        <w:t xml:space="preserve"> nedošlo. Tuto možnos</w:t>
      </w:r>
      <w:r w:rsidR="00BA58DA">
        <w:t>t představuje slo</w:t>
      </w:r>
      <w:r w:rsidR="00EA1E1F">
        <w:t>upec „Bez zajištění</w:t>
      </w:r>
      <w:r w:rsidR="00BA58DA">
        <w:t>“ T</w:t>
      </w:r>
      <w:r>
        <w:t>abulky</w:t>
      </w:r>
      <w:r w:rsidR="00BA58DA">
        <w:t xml:space="preserve"> 11</w:t>
      </w:r>
      <w:r>
        <w:t>.</w:t>
      </w:r>
    </w:p>
    <w:p w:rsidR="00BA58DA" w:rsidRPr="00BA58DA" w:rsidRDefault="00BA58DA" w:rsidP="00BA58DA">
      <w:pPr>
        <w:pStyle w:val="Titulek"/>
        <w:keepNext/>
        <w:spacing w:line="276" w:lineRule="auto"/>
        <w:jc w:val="both"/>
        <w:rPr>
          <w:rFonts w:ascii="Times New Roman" w:hAnsi="Times New Roman" w:cs="Times New Roman"/>
          <w:b w:val="0"/>
          <w:color w:val="auto"/>
          <w:sz w:val="24"/>
        </w:rPr>
      </w:pPr>
      <w:bookmarkStart w:id="94" w:name="_Toc354393034"/>
      <w:r w:rsidRPr="00BA58DA">
        <w:rPr>
          <w:rFonts w:ascii="Times New Roman" w:hAnsi="Times New Roman" w:cs="Times New Roman"/>
          <w:b w:val="0"/>
          <w:color w:val="auto"/>
          <w:sz w:val="24"/>
        </w:rPr>
        <w:t xml:space="preserve">Tabulka </w:t>
      </w:r>
      <w:r w:rsidR="00FA567C" w:rsidRPr="00BA58DA">
        <w:rPr>
          <w:rFonts w:ascii="Times New Roman" w:hAnsi="Times New Roman" w:cs="Times New Roman"/>
          <w:b w:val="0"/>
          <w:color w:val="auto"/>
          <w:sz w:val="24"/>
        </w:rPr>
        <w:fldChar w:fldCharType="begin"/>
      </w:r>
      <w:r w:rsidRPr="00BA58DA">
        <w:rPr>
          <w:rFonts w:ascii="Times New Roman" w:hAnsi="Times New Roman" w:cs="Times New Roman"/>
          <w:b w:val="0"/>
          <w:color w:val="auto"/>
          <w:sz w:val="24"/>
        </w:rPr>
        <w:instrText xml:space="preserve"> SEQ Tabulka \* ARABIC </w:instrText>
      </w:r>
      <w:r w:rsidR="00FA567C" w:rsidRPr="00BA58DA">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11</w:t>
      </w:r>
      <w:r w:rsidR="00FA567C" w:rsidRPr="00BA58DA">
        <w:rPr>
          <w:rFonts w:ascii="Times New Roman" w:hAnsi="Times New Roman" w:cs="Times New Roman"/>
          <w:b w:val="0"/>
          <w:color w:val="auto"/>
          <w:sz w:val="24"/>
        </w:rPr>
        <w:fldChar w:fldCharType="end"/>
      </w:r>
      <w:r w:rsidRPr="00BA58DA">
        <w:rPr>
          <w:rFonts w:ascii="Times New Roman" w:hAnsi="Times New Roman" w:cs="Times New Roman"/>
          <w:b w:val="0"/>
          <w:color w:val="auto"/>
          <w:sz w:val="24"/>
        </w:rPr>
        <w:t>: Konečná situac</w:t>
      </w:r>
      <w:r w:rsidR="004D0385">
        <w:rPr>
          <w:rFonts w:ascii="Times New Roman" w:hAnsi="Times New Roman" w:cs="Times New Roman"/>
          <w:b w:val="0"/>
          <w:color w:val="auto"/>
          <w:sz w:val="24"/>
        </w:rPr>
        <w:t>e</w:t>
      </w:r>
      <w:r w:rsidRPr="00BA58DA">
        <w:rPr>
          <w:rFonts w:ascii="Times New Roman" w:hAnsi="Times New Roman" w:cs="Times New Roman"/>
          <w:b w:val="0"/>
          <w:color w:val="auto"/>
          <w:sz w:val="24"/>
        </w:rPr>
        <w:t xml:space="preserve"> při zajištění pomocí měnových futures</w:t>
      </w:r>
      <w:bookmarkEnd w:id="94"/>
    </w:p>
    <w:tbl>
      <w:tblPr>
        <w:tblStyle w:val="Svtlstnovn1"/>
        <w:tblW w:w="7603" w:type="dxa"/>
        <w:jc w:val="center"/>
        <w:tblLook w:val="04E0"/>
      </w:tblPr>
      <w:tblGrid>
        <w:gridCol w:w="2445"/>
        <w:gridCol w:w="1801"/>
        <w:gridCol w:w="1619"/>
        <w:gridCol w:w="1738"/>
      </w:tblGrid>
      <w:tr w:rsidR="00D6513E" w:rsidRPr="00445B8E" w:rsidTr="00BA58DA">
        <w:trPr>
          <w:cnfStyle w:val="100000000000"/>
          <w:trHeight w:val="330"/>
          <w:jc w:val="center"/>
        </w:trPr>
        <w:tc>
          <w:tcPr>
            <w:cnfStyle w:val="001000000000"/>
            <w:tcW w:w="2445" w:type="dxa"/>
            <w:vAlign w:val="center"/>
          </w:tcPr>
          <w:p w:rsidR="00D6513E" w:rsidRPr="00445B8E" w:rsidRDefault="00D6513E" w:rsidP="00BA58DA">
            <w:pPr>
              <w:spacing w:line="276" w:lineRule="auto"/>
              <w:jc w:val="center"/>
              <w:rPr>
                <w:color w:val="000000"/>
                <w:sz w:val="24"/>
                <w:szCs w:val="24"/>
                <w:lang w:eastAsia="cs-CZ"/>
              </w:rPr>
            </w:pPr>
            <w:r>
              <w:br w:type="page"/>
            </w:r>
            <w:r w:rsidR="00BA58DA">
              <w:rPr>
                <w:color w:val="000000"/>
                <w:sz w:val="24"/>
                <w:szCs w:val="24"/>
                <w:lang w:eastAsia="cs-CZ"/>
              </w:rPr>
              <w:t>Období</w:t>
            </w:r>
          </w:p>
        </w:tc>
        <w:tc>
          <w:tcPr>
            <w:tcW w:w="1801" w:type="dxa"/>
            <w:noWrap/>
            <w:vAlign w:val="center"/>
            <w:hideMark/>
          </w:tcPr>
          <w:p w:rsidR="00BA58DA" w:rsidRPr="00445B8E" w:rsidRDefault="00D6513E" w:rsidP="00BA58DA">
            <w:pPr>
              <w:spacing w:line="276" w:lineRule="auto"/>
              <w:jc w:val="center"/>
              <w:cnfStyle w:val="100000000000"/>
              <w:rPr>
                <w:color w:val="000000"/>
                <w:sz w:val="24"/>
                <w:szCs w:val="24"/>
                <w:lang w:eastAsia="cs-CZ"/>
              </w:rPr>
            </w:pPr>
            <w:r w:rsidRPr="00445B8E">
              <w:rPr>
                <w:color w:val="000000"/>
                <w:sz w:val="24"/>
                <w:szCs w:val="24"/>
                <w:lang w:eastAsia="cs-CZ"/>
              </w:rPr>
              <w:t>Efektivní cena</w:t>
            </w:r>
          </w:p>
        </w:tc>
        <w:tc>
          <w:tcPr>
            <w:tcW w:w="1619" w:type="dxa"/>
            <w:vAlign w:val="center"/>
          </w:tcPr>
          <w:p w:rsidR="00D6513E" w:rsidRPr="00437411" w:rsidRDefault="00D6513E" w:rsidP="00BA58DA">
            <w:pPr>
              <w:spacing w:line="276" w:lineRule="auto"/>
              <w:jc w:val="center"/>
              <w:cnfStyle w:val="100000000000"/>
              <w:rPr>
                <w:color w:val="000000"/>
                <w:sz w:val="24"/>
                <w:szCs w:val="24"/>
                <w:lang w:eastAsia="cs-CZ"/>
              </w:rPr>
            </w:pPr>
            <w:r w:rsidRPr="00437411">
              <w:rPr>
                <w:color w:val="000000"/>
                <w:sz w:val="24"/>
                <w:szCs w:val="24"/>
                <w:lang w:eastAsia="cs-CZ"/>
              </w:rPr>
              <w:t>Bez zajištění</w:t>
            </w:r>
            <w:r>
              <w:rPr>
                <w:color w:val="000000"/>
                <w:sz w:val="24"/>
                <w:szCs w:val="24"/>
                <w:lang w:eastAsia="cs-CZ"/>
              </w:rPr>
              <w:t xml:space="preserve"> </w:t>
            </w:r>
          </w:p>
        </w:tc>
        <w:tc>
          <w:tcPr>
            <w:tcW w:w="1738" w:type="dxa"/>
            <w:noWrap/>
            <w:vAlign w:val="center"/>
            <w:hideMark/>
          </w:tcPr>
          <w:p w:rsidR="00D6513E" w:rsidRPr="00445B8E" w:rsidRDefault="00D6513E" w:rsidP="00BA58DA">
            <w:pPr>
              <w:spacing w:line="276" w:lineRule="auto"/>
              <w:jc w:val="center"/>
              <w:cnfStyle w:val="100000000000"/>
              <w:rPr>
                <w:color w:val="000000"/>
                <w:sz w:val="24"/>
                <w:szCs w:val="24"/>
                <w:lang w:eastAsia="cs-CZ"/>
              </w:rPr>
            </w:pPr>
            <w:r>
              <w:rPr>
                <w:color w:val="000000"/>
                <w:sz w:val="24"/>
                <w:szCs w:val="24"/>
                <w:lang w:eastAsia="cs-CZ"/>
              </w:rPr>
              <w:t>Se zajištěním</w:t>
            </w:r>
          </w:p>
        </w:tc>
      </w:tr>
      <w:tr w:rsidR="00D6513E" w:rsidRPr="00445B8E" w:rsidTr="001433CF">
        <w:trPr>
          <w:cnfStyle w:val="000000100000"/>
          <w:trHeight w:val="315"/>
          <w:jc w:val="center"/>
        </w:trPr>
        <w:tc>
          <w:tcPr>
            <w:cnfStyle w:val="001000000000"/>
            <w:tcW w:w="2445" w:type="dxa"/>
            <w:shd w:val="clear" w:color="auto" w:fill="D9D9D9" w:themeFill="background1" w:themeFillShade="D9"/>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2013 – 7. 8. 2013</w:t>
            </w:r>
          </w:p>
        </w:tc>
        <w:tc>
          <w:tcPr>
            <w:tcW w:w="1801" w:type="dxa"/>
            <w:shd w:val="clear" w:color="auto" w:fill="D9D9D9" w:themeFill="background1" w:themeFillShade="D9"/>
            <w:noWrap/>
            <w:vAlign w:val="center"/>
            <w:hideMark/>
          </w:tcPr>
          <w:p w:rsidR="00D6513E" w:rsidRPr="00BC004A" w:rsidRDefault="00D6513E" w:rsidP="00BA58DA">
            <w:pPr>
              <w:spacing w:line="276" w:lineRule="auto"/>
              <w:jc w:val="center"/>
              <w:cnfStyle w:val="000000100000"/>
              <w:rPr>
                <w:color w:val="000000"/>
                <w:sz w:val="24"/>
              </w:rPr>
            </w:pPr>
            <w:r w:rsidRPr="00BC004A">
              <w:rPr>
                <w:color w:val="000000"/>
                <w:sz w:val="24"/>
              </w:rPr>
              <w:t>0,75</w:t>
            </w:r>
            <w:r>
              <w:rPr>
                <w:color w:val="000000"/>
                <w:sz w:val="24"/>
              </w:rPr>
              <w:t>80</w:t>
            </w:r>
          </w:p>
        </w:tc>
        <w:tc>
          <w:tcPr>
            <w:tcW w:w="1619" w:type="dxa"/>
            <w:shd w:val="clear" w:color="auto" w:fill="D9D9D9" w:themeFill="background1" w:themeFillShade="D9"/>
            <w:vAlign w:val="center"/>
          </w:tcPr>
          <w:p w:rsidR="00D6513E" w:rsidRPr="00437411" w:rsidRDefault="00D6513E" w:rsidP="00BA58DA">
            <w:pPr>
              <w:spacing w:line="276" w:lineRule="auto"/>
              <w:jc w:val="center"/>
              <w:cnfStyle w:val="000000100000"/>
              <w:rPr>
                <w:color w:val="000000"/>
                <w:sz w:val="24"/>
              </w:rPr>
            </w:pPr>
            <w:r w:rsidRPr="00437411">
              <w:rPr>
                <w:color w:val="000000"/>
                <w:sz w:val="24"/>
              </w:rPr>
              <w:t>110 692,94</w:t>
            </w:r>
          </w:p>
        </w:tc>
        <w:tc>
          <w:tcPr>
            <w:tcW w:w="1738" w:type="dxa"/>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 xml:space="preserve">131 </w:t>
            </w:r>
            <w:r>
              <w:rPr>
                <w:color w:val="000000"/>
                <w:sz w:val="24"/>
                <w:szCs w:val="24"/>
                <w:lang w:eastAsia="cs-CZ"/>
              </w:rPr>
              <w:t>926,12</w:t>
            </w:r>
          </w:p>
        </w:tc>
      </w:tr>
      <w:tr w:rsidR="00D6513E" w:rsidRPr="00445B8E" w:rsidTr="00BA58DA">
        <w:trPr>
          <w:trHeight w:val="315"/>
          <w:jc w:val="center"/>
        </w:trPr>
        <w:tc>
          <w:tcPr>
            <w:cnfStyle w:val="001000000000"/>
            <w:tcW w:w="2445" w:type="dxa"/>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2013 - 7. 2. 2014</w:t>
            </w:r>
          </w:p>
        </w:tc>
        <w:tc>
          <w:tcPr>
            <w:tcW w:w="1801" w:type="dxa"/>
            <w:noWrap/>
            <w:vAlign w:val="center"/>
            <w:hideMark/>
          </w:tcPr>
          <w:p w:rsidR="00D6513E" w:rsidRPr="00BC004A" w:rsidRDefault="00D6513E" w:rsidP="00BA58DA">
            <w:pPr>
              <w:spacing w:line="276" w:lineRule="auto"/>
              <w:jc w:val="center"/>
              <w:cnfStyle w:val="000000000000"/>
              <w:rPr>
                <w:color w:val="000000"/>
                <w:sz w:val="24"/>
              </w:rPr>
            </w:pPr>
            <w:r w:rsidRPr="00BC004A">
              <w:rPr>
                <w:color w:val="000000"/>
                <w:sz w:val="24"/>
              </w:rPr>
              <w:t>0,9178</w:t>
            </w:r>
          </w:p>
        </w:tc>
        <w:tc>
          <w:tcPr>
            <w:tcW w:w="1619" w:type="dxa"/>
            <w:vAlign w:val="center"/>
          </w:tcPr>
          <w:p w:rsidR="00D6513E" w:rsidRPr="00437411" w:rsidRDefault="00D6513E" w:rsidP="00BA58DA">
            <w:pPr>
              <w:spacing w:line="276" w:lineRule="auto"/>
              <w:jc w:val="center"/>
              <w:cnfStyle w:val="000000000000"/>
              <w:rPr>
                <w:color w:val="000000"/>
                <w:sz w:val="24"/>
              </w:rPr>
            </w:pPr>
            <w:r w:rsidRPr="00437411">
              <w:rPr>
                <w:color w:val="000000"/>
                <w:sz w:val="24"/>
              </w:rPr>
              <w:t>115 513,46</w:t>
            </w:r>
          </w:p>
        </w:tc>
        <w:tc>
          <w:tcPr>
            <w:tcW w:w="1738" w:type="dxa"/>
            <w:noWrap/>
            <w:vAlign w:val="center"/>
            <w:hideMark/>
          </w:tcPr>
          <w:p w:rsidR="00D6513E" w:rsidRPr="00A2279C" w:rsidRDefault="00D6513E" w:rsidP="00BA58DA">
            <w:pPr>
              <w:spacing w:line="276" w:lineRule="auto"/>
              <w:jc w:val="center"/>
              <w:cnfStyle w:val="000000000000"/>
              <w:rPr>
                <w:color w:val="FF0000"/>
                <w:sz w:val="24"/>
                <w:szCs w:val="24"/>
                <w:lang w:eastAsia="cs-CZ"/>
              </w:rPr>
            </w:pPr>
            <w:r w:rsidRPr="00A2279C">
              <w:rPr>
                <w:color w:val="FF0000"/>
                <w:sz w:val="24"/>
                <w:szCs w:val="24"/>
                <w:lang w:eastAsia="cs-CZ"/>
              </w:rPr>
              <w:t>108 958,02</w:t>
            </w:r>
          </w:p>
        </w:tc>
      </w:tr>
      <w:tr w:rsidR="00D6513E" w:rsidRPr="00445B8E" w:rsidTr="001433CF">
        <w:trPr>
          <w:cnfStyle w:val="000000100000"/>
          <w:trHeight w:val="315"/>
          <w:jc w:val="center"/>
        </w:trPr>
        <w:tc>
          <w:tcPr>
            <w:cnfStyle w:val="001000000000"/>
            <w:tcW w:w="2445" w:type="dxa"/>
            <w:shd w:val="clear" w:color="auto" w:fill="D9D9D9" w:themeFill="background1" w:themeFillShade="D9"/>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2014 - 7. 8. 2014</w:t>
            </w:r>
          </w:p>
        </w:tc>
        <w:tc>
          <w:tcPr>
            <w:tcW w:w="1801" w:type="dxa"/>
            <w:shd w:val="clear" w:color="auto" w:fill="D9D9D9" w:themeFill="background1" w:themeFillShade="D9"/>
            <w:noWrap/>
            <w:vAlign w:val="center"/>
            <w:hideMark/>
          </w:tcPr>
          <w:p w:rsidR="00D6513E" w:rsidRPr="00BC004A" w:rsidRDefault="00D6513E" w:rsidP="00BA58DA">
            <w:pPr>
              <w:spacing w:line="276" w:lineRule="auto"/>
              <w:jc w:val="center"/>
              <w:cnfStyle w:val="000000100000"/>
              <w:rPr>
                <w:color w:val="000000"/>
                <w:sz w:val="24"/>
              </w:rPr>
            </w:pPr>
            <w:r w:rsidRPr="00BC004A">
              <w:rPr>
                <w:color w:val="000000"/>
                <w:sz w:val="24"/>
              </w:rPr>
              <w:t>0,8798</w:t>
            </w:r>
          </w:p>
        </w:tc>
        <w:tc>
          <w:tcPr>
            <w:tcW w:w="1619" w:type="dxa"/>
            <w:shd w:val="clear" w:color="auto" w:fill="D9D9D9" w:themeFill="background1" w:themeFillShade="D9"/>
            <w:vAlign w:val="center"/>
          </w:tcPr>
          <w:p w:rsidR="00D6513E" w:rsidRPr="00437411" w:rsidRDefault="00D6513E" w:rsidP="00BA58DA">
            <w:pPr>
              <w:spacing w:line="276" w:lineRule="auto"/>
              <w:jc w:val="center"/>
              <w:cnfStyle w:val="000000100000"/>
              <w:rPr>
                <w:color w:val="000000"/>
                <w:sz w:val="24"/>
              </w:rPr>
            </w:pPr>
            <w:r w:rsidRPr="00437411">
              <w:rPr>
                <w:color w:val="000000"/>
                <w:sz w:val="24"/>
              </w:rPr>
              <w:t>135 943,45</w:t>
            </w:r>
          </w:p>
        </w:tc>
        <w:tc>
          <w:tcPr>
            <w:tcW w:w="1738" w:type="dxa"/>
            <w:shd w:val="clear" w:color="auto" w:fill="D9D9D9" w:themeFill="background1" w:themeFillShade="D9"/>
            <w:noWrap/>
            <w:vAlign w:val="center"/>
            <w:hideMark/>
          </w:tcPr>
          <w:p w:rsidR="00D6513E" w:rsidRPr="00A2279C" w:rsidRDefault="00D6513E" w:rsidP="00BA58DA">
            <w:pPr>
              <w:spacing w:line="276" w:lineRule="auto"/>
              <w:jc w:val="center"/>
              <w:cnfStyle w:val="000000100000"/>
              <w:rPr>
                <w:color w:val="FF0000"/>
                <w:sz w:val="24"/>
                <w:szCs w:val="24"/>
                <w:lang w:eastAsia="cs-CZ"/>
              </w:rPr>
            </w:pPr>
            <w:r w:rsidRPr="00A2279C">
              <w:rPr>
                <w:color w:val="FF0000"/>
                <w:sz w:val="24"/>
                <w:szCs w:val="24"/>
                <w:lang w:eastAsia="cs-CZ"/>
              </w:rPr>
              <w:t>113 667,47</w:t>
            </w:r>
          </w:p>
        </w:tc>
      </w:tr>
      <w:tr w:rsidR="00D6513E" w:rsidRPr="00445B8E" w:rsidTr="00BA58DA">
        <w:trPr>
          <w:trHeight w:val="315"/>
          <w:jc w:val="center"/>
        </w:trPr>
        <w:tc>
          <w:tcPr>
            <w:cnfStyle w:val="001000000000"/>
            <w:tcW w:w="2445" w:type="dxa"/>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2014 - 7. 2. 2015</w:t>
            </w:r>
          </w:p>
        </w:tc>
        <w:tc>
          <w:tcPr>
            <w:tcW w:w="1801" w:type="dxa"/>
            <w:noWrap/>
            <w:vAlign w:val="center"/>
            <w:hideMark/>
          </w:tcPr>
          <w:p w:rsidR="00D6513E" w:rsidRPr="00BC004A" w:rsidRDefault="00D6513E" w:rsidP="00BA58DA">
            <w:pPr>
              <w:spacing w:line="276" w:lineRule="auto"/>
              <w:jc w:val="center"/>
              <w:cnfStyle w:val="000000000000"/>
              <w:rPr>
                <w:color w:val="000000"/>
                <w:sz w:val="24"/>
              </w:rPr>
            </w:pPr>
            <w:r w:rsidRPr="00BC004A">
              <w:rPr>
                <w:color w:val="000000"/>
                <w:sz w:val="24"/>
              </w:rPr>
              <w:t>0,7466</w:t>
            </w:r>
          </w:p>
        </w:tc>
        <w:tc>
          <w:tcPr>
            <w:tcW w:w="1619" w:type="dxa"/>
            <w:vAlign w:val="center"/>
          </w:tcPr>
          <w:p w:rsidR="00D6513E" w:rsidRPr="00437411" w:rsidRDefault="00D6513E" w:rsidP="00BA58DA">
            <w:pPr>
              <w:spacing w:line="276" w:lineRule="auto"/>
              <w:jc w:val="center"/>
              <w:cnfStyle w:val="000000000000"/>
              <w:rPr>
                <w:color w:val="000000"/>
                <w:sz w:val="24"/>
              </w:rPr>
            </w:pPr>
            <w:r w:rsidRPr="00437411">
              <w:rPr>
                <w:color w:val="000000"/>
                <w:sz w:val="24"/>
              </w:rPr>
              <w:t>103 273,78</w:t>
            </w:r>
          </w:p>
        </w:tc>
        <w:tc>
          <w:tcPr>
            <w:tcW w:w="1738" w:type="dxa"/>
            <w:noWrap/>
            <w:vAlign w:val="center"/>
            <w:hideMark/>
          </w:tcPr>
          <w:p w:rsidR="00D6513E" w:rsidRPr="00445B8E" w:rsidRDefault="00D6513E" w:rsidP="00BA58DA">
            <w:pPr>
              <w:spacing w:line="276" w:lineRule="auto"/>
              <w:jc w:val="center"/>
              <w:cnfStyle w:val="000000000000"/>
              <w:rPr>
                <w:color w:val="000000"/>
                <w:sz w:val="24"/>
                <w:szCs w:val="24"/>
                <w:lang w:eastAsia="cs-CZ"/>
              </w:rPr>
            </w:pPr>
            <w:r w:rsidRPr="00445B8E">
              <w:rPr>
                <w:color w:val="000000"/>
                <w:sz w:val="24"/>
                <w:szCs w:val="24"/>
                <w:lang w:eastAsia="cs-CZ"/>
              </w:rPr>
              <w:t>133 942,85</w:t>
            </w:r>
          </w:p>
        </w:tc>
      </w:tr>
      <w:tr w:rsidR="00D6513E" w:rsidRPr="00445B8E" w:rsidTr="001433CF">
        <w:trPr>
          <w:cnfStyle w:val="000000100000"/>
          <w:trHeight w:val="315"/>
          <w:jc w:val="center"/>
        </w:trPr>
        <w:tc>
          <w:tcPr>
            <w:cnfStyle w:val="001000000000"/>
            <w:tcW w:w="2445" w:type="dxa"/>
            <w:shd w:val="clear" w:color="auto" w:fill="D9D9D9" w:themeFill="background1" w:themeFillShade="D9"/>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2015 - 7. 8. 2015</w:t>
            </w:r>
          </w:p>
        </w:tc>
        <w:tc>
          <w:tcPr>
            <w:tcW w:w="1801" w:type="dxa"/>
            <w:shd w:val="clear" w:color="auto" w:fill="D9D9D9" w:themeFill="background1" w:themeFillShade="D9"/>
            <w:noWrap/>
            <w:vAlign w:val="center"/>
            <w:hideMark/>
          </w:tcPr>
          <w:p w:rsidR="00D6513E" w:rsidRPr="00BC004A" w:rsidRDefault="00D6513E" w:rsidP="00BA58DA">
            <w:pPr>
              <w:spacing w:line="276" w:lineRule="auto"/>
              <w:jc w:val="center"/>
              <w:cnfStyle w:val="000000100000"/>
              <w:rPr>
                <w:color w:val="000000"/>
                <w:sz w:val="24"/>
              </w:rPr>
            </w:pPr>
            <w:r w:rsidRPr="00BC004A">
              <w:rPr>
                <w:color w:val="000000"/>
                <w:sz w:val="24"/>
              </w:rPr>
              <w:t>0,9833</w:t>
            </w:r>
          </w:p>
        </w:tc>
        <w:tc>
          <w:tcPr>
            <w:tcW w:w="1619" w:type="dxa"/>
            <w:shd w:val="clear" w:color="auto" w:fill="D9D9D9" w:themeFill="background1" w:themeFillShade="D9"/>
            <w:vAlign w:val="center"/>
          </w:tcPr>
          <w:p w:rsidR="00D6513E" w:rsidRPr="00437411" w:rsidRDefault="00D6513E" w:rsidP="00BA58DA">
            <w:pPr>
              <w:spacing w:line="276" w:lineRule="auto"/>
              <w:jc w:val="center"/>
              <w:cnfStyle w:val="000000100000"/>
              <w:rPr>
                <w:color w:val="000000"/>
                <w:sz w:val="24"/>
              </w:rPr>
            </w:pPr>
            <w:r w:rsidRPr="00437411">
              <w:rPr>
                <w:color w:val="000000"/>
                <w:sz w:val="24"/>
              </w:rPr>
              <w:t>100 331,09</w:t>
            </w:r>
          </w:p>
        </w:tc>
        <w:tc>
          <w:tcPr>
            <w:tcW w:w="1738" w:type="dxa"/>
            <w:shd w:val="clear" w:color="auto" w:fill="D9D9D9" w:themeFill="background1" w:themeFillShade="D9"/>
            <w:noWrap/>
            <w:vAlign w:val="center"/>
            <w:hideMark/>
          </w:tcPr>
          <w:p w:rsidR="00D6513E" w:rsidRPr="00445B8E" w:rsidRDefault="00D6513E" w:rsidP="00BA58DA">
            <w:pPr>
              <w:spacing w:line="276" w:lineRule="auto"/>
              <w:jc w:val="center"/>
              <w:cnfStyle w:val="000000100000"/>
              <w:rPr>
                <w:color w:val="000000"/>
                <w:sz w:val="24"/>
                <w:szCs w:val="24"/>
                <w:lang w:eastAsia="cs-CZ"/>
              </w:rPr>
            </w:pPr>
            <w:r w:rsidRPr="00445B8E">
              <w:rPr>
                <w:color w:val="000000"/>
                <w:sz w:val="24"/>
                <w:szCs w:val="24"/>
                <w:lang w:eastAsia="cs-CZ"/>
              </w:rPr>
              <w:t>101 695,45</w:t>
            </w:r>
          </w:p>
        </w:tc>
      </w:tr>
      <w:tr w:rsidR="00D6513E" w:rsidRPr="00445B8E" w:rsidTr="00BA58DA">
        <w:trPr>
          <w:trHeight w:val="315"/>
          <w:jc w:val="center"/>
        </w:trPr>
        <w:tc>
          <w:tcPr>
            <w:cnfStyle w:val="001000000000"/>
            <w:tcW w:w="2445" w:type="dxa"/>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2015 - 7. 2. 2016</w:t>
            </w:r>
          </w:p>
        </w:tc>
        <w:tc>
          <w:tcPr>
            <w:tcW w:w="1801" w:type="dxa"/>
            <w:noWrap/>
            <w:vAlign w:val="center"/>
            <w:hideMark/>
          </w:tcPr>
          <w:p w:rsidR="00D6513E" w:rsidRPr="00BC004A" w:rsidRDefault="00D6513E" w:rsidP="00BA58DA">
            <w:pPr>
              <w:spacing w:line="276" w:lineRule="auto"/>
              <w:jc w:val="center"/>
              <w:cnfStyle w:val="000000000000"/>
              <w:rPr>
                <w:color w:val="000000"/>
                <w:sz w:val="24"/>
              </w:rPr>
            </w:pPr>
            <w:r w:rsidRPr="00BC004A">
              <w:rPr>
                <w:color w:val="000000"/>
                <w:sz w:val="24"/>
              </w:rPr>
              <w:t>1,0126</w:t>
            </w:r>
          </w:p>
        </w:tc>
        <w:tc>
          <w:tcPr>
            <w:tcW w:w="1619" w:type="dxa"/>
            <w:vAlign w:val="center"/>
          </w:tcPr>
          <w:p w:rsidR="00D6513E" w:rsidRPr="00437411" w:rsidRDefault="00D6513E" w:rsidP="00BA58DA">
            <w:pPr>
              <w:spacing w:line="276" w:lineRule="auto"/>
              <w:jc w:val="center"/>
              <w:cnfStyle w:val="000000000000"/>
              <w:rPr>
                <w:color w:val="000000"/>
                <w:sz w:val="24"/>
              </w:rPr>
            </w:pPr>
            <w:r w:rsidRPr="00437411">
              <w:rPr>
                <w:color w:val="000000"/>
                <w:sz w:val="24"/>
              </w:rPr>
              <w:t>120 134,55</w:t>
            </w:r>
          </w:p>
        </w:tc>
        <w:tc>
          <w:tcPr>
            <w:tcW w:w="1738" w:type="dxa"/>
            <w:noWrap/>
            <w:vAlign w:val="center"/>
            <w:hideMark/>
          </w:tcPr>
          <w:p w:rsidR="00D6513E" w:rsidRPr="00A2279C" w:rsidRDefault="00D6513E" w:rsidP="00BA58DA">
            <w:pPr>
              <w:spacing w:line="276" w:lineRule="auto"/>
              <w:jc w:val="center"/>
              <w:cnfStyle w:val="000000000000"/>
              <w:rPr>
                <w:color w:val="FF0000"/>
                <w:sz w:val="24"/>
                <w:szCs w:val="24"/>
                <w:lang w:eastAsia="cs-CZ"/>
              </w:rPr>
            </w:pPr>
            <w:r w:rsidRPr="00A2279C">
              <w:rPr>
                <w:color w:val="FF0000"/>
                <w:sz w:val="24"/>
                <w:szCs w:val="24"/>
                <w:lang w:eastAsia="cs-CZ"/>
              </w:rPr>
              <w:t>98 755,10</w:t>
            </w:r>
          </w:p>
        </w:tc>
      </w:tr>
      <w:tr w:rsidR="00D6513E" w:rsidRPr="00445B8E" w:rsidTr="001433CF">
        <w:trPr>
          <w:cnfStyle w:val="000000100000"/>
          <w:trHeight w:val="315"/>
          <w:jc w:val="center"/>
        </w:trPr>
        <w:tc>
          <w:tcPr>
            <w:cnfStyle w:val="001000000000"/>
            <w:tcW w:w="2445" w:type="dxa"/>
            <w:shd w:val="clear" w:color="auto" w:fill="D9D9D9" w:themeFill="background1" w:themeFillShade="D9"/>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2016 - 7. 8. 2016</w:t>
            </w:r>
          </w:p>
        </w:tc>
        <w:tc>
          <w:tcPr>
            <w:tcW w:w="1801" w:type="dxa"/>
            <w:shd w:val="clear" w:color="auto" w:fill="D9D9D9" w:themeFill="background1" w:themeFillShade="D9"/>
            <w:noWrap/>
            <w:vAlign w:val="center"/>
            <w:hideMark/>
          </w:tcPr>
          <w:p w:rsidR="00D6513E" w:rsidRPr="00BC004A" w:rsidRDefault="00D6513E" w:rsidP="00BA58DA">
            <w:pPr>
              <w:spacing w:line="276" w:lineRule="auto"/>
              <w:jc w:val="center"/>
              <w:cnfStyle w:val="000000100000"/>
              <w:rPr>
                <w:color w:val="000000"/>
                <w:sz w:val="24"/>
              </w:rPr>
            </w:pPr>
            <w:r w:rsidRPr="00BC004A">
              <w:rPr>
                <w:color w:val="000000"/>
                <w:sz w:val="24"/>
              </w:rPr>
              <w:t>0,8454</w:t>
            </w:r>
          </w:p>
        </w:tc>
        <w:tc>
          <w:tcPr>
            <w:tcW w:w="1619" w:type="dxa"/>
            <w:shd w:val="clear" w:color="auto" w:fill="D9D9D9" w:themeFill="background1" w:themeFillShade="D9"/>
            <w:vAlign w:val="center"/>
          </w:tcPr>
          <w:p w:rsidR="00D6513E" w:rsidRPr="00437411" w:rsidRDefault="00D6513E" w:rsidP="00BA58DA">
            <w:pPr>
              <w:spacing w:line="276" w:lineRule="auto"/>
              <w:jc w:val="center"/>
              <w:cnfStyle w:val="000000100000"/>
              <w:rPr>
                <w:color w:val="000000"/>
                <w:sz w:val="24"/>
              </w:rPr>
            </w:pPr>
            <w:r w:rsidRPr="00437411">
              <w:rPr>
                <w:color w:val="000000"/>
                <w:sz w:val="24"/>
              </w:rPr>
              <w:t>123 961,82</w:t>
            </w:r>
          </w:p>
        </w:tc>
        <w:tc>
          <w:tcPr>
            <w:tcW w:w="1738" w:type="dxa"/>
            <w:shd w:val="clear" w:color="auto" w:fill="D9D9D9" w:themeFill="background1" w:themeFillShade="D9"/>
            <w:noWrap/>
            <w:vAlign w:val="center"/>
            <w:hideMark/>
          </w:tcPr>
          <w:p w:rsidR="00D6513E" w:rsidRPr="00A2279C" w:rsidRDefault="00D6513E" w:rsidP="00BA58DA">
            <w:pPr>
              <w:spacing w:line="276" w:lineRule="auto"/>
              <w:jc w:val="center"/>
              <w:cnfStyle w:val="000000100000"/>
              <w:rPr>
                <w:color w:val="FF0000"/>
                <w:sz w:val="24"/>
                <w:szCs w:val="24"/>
                <w:lang w:eastAsia="cs-CZ"/>
              </w:rPr>
            </w:pPr>
            <w:r w:rsidRPr="00A2279C">
              <w:rPr>
                <w:color w:val="FF0000"/>
                <w:sz w:val="24"/>
                <w:szCs w:val="24"/>
                <w:lang w:eastAsia="cs-CZ"/>
              </w:rPr>
              <w:t>118 286,35</w:t>
            </w:r>
          </w:p>
        </w:tc>
      </w:tr>
      <w:tr w:rsidR="00D6513E" w:rsidRPr="00445B8E" w:rsidTr="00BA58DA">
        <w:trPr>
          <w:trHeight w:val="315"/>
          <w:jc w:val="center"/>
        </w:trPr>
        <w:tc>
          <w:tcPr>
            <w:cnfStyle w:val="001000000000"/>
            <w:tcW w:w="2445" w:type="dxa"/>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2016 - 7. 2. 2017</w:t>
            </w:r>
          </w:p>
        </w:tc>
        <w:tc>
          <w:tcPr>
            <w:tcW w:w="1801" w:type="dxa"/>
            <w:noWrap/>
            <w:vAlign w:val="center"/>
            <w:hideMark/>
          </w:tcPr>
          <w:p w:rsidR="00D6513E" w:rsidRPr="00BC004A" w:rsidRDefault="00D6513E" w:rsidP="00BA58DA">
            <w:pPr>
              <w:spacing w:line="276" w:lineRule="auto"/>
              <w:jc w:val="center"/>
              <w:cnfStyle w:val="000000000000"/>
              <w:rPr>
                <w:color w:val="000000"/>
                <w:sz w:val="24"/>
              </w:rPr>
            </w:pPr>
            <w:r w:rsidRPr="00BC004A">
              <w:rPr>
                <w:color w:val="000000"/>
                <w:sz w:val="24"/>
              </w:rPr>
              <w:t>0,8191</w:t>
            </w:r>
          </w:p>
        </w:tc>
        <w:tc>
          <w:tcPr>
            <w:tcW w:w="1619" w:type="dxa"/>
            <w:vAlign w:val="center"/>
          </w:tcPr>
          <w:p w:rsidR="00D6513E" w:rsidRPr="00437411" w:rsidRDefault="00D6513E" w:rsidP="00BA58DA">
            <w:pPr>
              <w:spacing w:line="276" w:lineRule="auto"/>
              <w:jc w:val="center"/>
              <w:cnfStyle w:val="000000000000"/>
              <w:rPr>
                <w:color w:val="000000"/>
                <w:sz w:val="24"/>
              </w:rPr>
            </w:pPr>
            <w:r w:rsidRPr="00437411">
              <w:rPr>
                <w:color w:val="000000"/>
                <w:sz w:val="24"/>
              </w:rPr>
              <w:t>127 746,55</w:t>
            </w:r>
          </w:p>
        </w:tc>
        <w:tc>
          <w:tcPr>
            <w:tcW w:w="1738" w:type="dxa"/>
            <w:noWrap/>
            <w:vAlign w:val="center"/>
            <w:hideMark/>
          </w:tcPr>
          <w:p w:rsidR="00D6513E" w:rsidRPr="00A2279C" w:rsidRDefault="00D6513E" w:rsidP="00BA58DA">
            <w:pPr>
              <w:spacing w:line="276" w:lineRule="auto"/>
              <w:jc w:val="center"/>
              <w:cnfStyle w:val="000000000000"/>
              <w:rPr>
                <w:color w:val="FF0000"/>
                <w:sz w:val="24"/>
                <w:szCs w:val="24"/>
                <w:lang w:eastAsia="cs-CZ"/>
              </w:rPr>
            </w:pPr>
            <w:r w:rsidRPr="00A2279C">
              <w:rPr>
                <w:color w:val="FF0000"/>
                <w:sz w:val="24"/>
                <w:szCs w:val="24"/>
                <w:lang w:eastAsia="cs-CZ"/>
              </w:rPr>
              <w:t>122 088,20</w:t>
            </w:r>
          </w:p>
        </w:tc>
      </w:tr>
      <w:tr w:rsidR="00D6513E" w:rsidRPr="00445B8E" w:rsidTr="001433CF">
        <w:trPr>
          <w:cnfStyle w:val="000000100000"/>
          <w:trHeight w:val="315"/>
          <w:jc w:val="center"/>
        </w:trPr>
        <w:tc>
          <w:tcPr>
            <w:cnfStyle w:val="001000000000"/>
            <w:tcW w:w="2445" w:type="dxa"/>
            <w:shd w:val="clear" w:color="auto" w:fill="D9D9D9" w:themeFill="background1" w:themeFillShade="D9"/>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2. 2017 - 7. 8. 2017</w:t>
            </w:r>
          </w:p>
        </w:tc>
        <w:tc>
          <w:tcPr>
            <w:tcW w:w="1801" w:type="dxa"/>
            <w:shd w:val="clear" w:color="auto" w:fill="D9D9D9" w:themeFill="background1" w:themeFillShade="D9"/>
            <w:noWrap/>
            <w:vAlign w:val="center"/>
            <w:hideMark/>
          </w:tcPr>
          <w:p w:rsidR="00D6513E" w:rsidRPr="00BC004A" w:rsidRDefault="00D6513E" w:rsidP="00BA58DA">
            <w:pPr>
              <w:spacing w:line="276" w:lineRule="auto"/>
              <w:jc w:val="center"/>
              <w:cnfStyle w:val="000000100000"/>
              <w:rPr>
                <w:color w:val="000000"/>
                <w:sz w:val="24"/>
              </w:rPr>
            </w:pPr>
            <w:r w:rsidRPr="00BC004A">
              <w:rPr>
                <w:color w:val="000000"/>
                <w:sz w:val="24"/>
              </w:rPr>
              <w:t>0,7949</w:t>
            </w:r>
          </w:p>
        </w:tc>
        <w:tc>
          <w:tcPr>
            <w:tcW w:w="1619" w:type="dxa"/>
            <w:shd w:val="clear" w:color="auto" w:fill="D9D9D9" w:themeFill="background1" w:themeFillShade="D9"/>
            <w:vAlign w:val="center"/>
          </w:tcPr>
          <w:p w:rsidR="00D6513E" w:rsidRPr="00437411" w:rsidRDefault="00D6513E" w:rsidP="00BA58DA">
            <w:pPr>
              <w:spacing w:line="276" w:lineRule="auto"/>
              <w:jc w:val="center"/>
              <w:cnfStyle w:val="000000100000"/>
              <w:rPr>
                <w:color w:val="000000"/>
                <w:sz w:val="24"/>
              </w:rPr>
            </w:pPr>
            <w:r w:rsidRPr="00437411">
              <w:rPr>
                <w:color w:val="000000"/>
                <w:sz w:val="24"/>
              </w:rPr>
              <w:t>137 608,37</w:t>
            </w:r>
          </w:p>
        </w:tc>
        <w:tc>
          <w:tcPr>
            <w:tcW w:w="1738" w:type="dxa"/>
            <w:shd w:val="clear" w:color="auto" w:fill="D9D9D9" w:themeFill="background1" w:themeFillShade="D9"/>
            <w:noWrap/>
            <w:vAlign w:val="center"/>
            <w:hideMark/>
          </w:tcPr>
          <w:p w:rsidR="00D6513E" w:rsidRPr="00A2279C" w:rsidRDefault="00D6513E" w:rsidP="00BA58DA">
            <w:pPr>
              <w:spacing w:line="276" w:lineRule="auto"/>
              <w:jc w:val="center"/>
              <w:cnfStyle w:val="000000100000"/>
              <w:rPr>
                <w:color w:val="FF0000"/>
                <w:sz w:val="24"/>
                <w:szCs w:val="24"/>
                <w:lang w:eastAsia="cs-CZ"/>
              </w:rPr>
            </w:pPr>
            <w:r w:rsidRPr="00A2279C">
              <w:rPr>
                <w:color w:val="FF0000"/>
                <w:sz w:val="24"/>
                <w:szCs w:val="24"/>
                <w:lang w:eastAsia="cs-CZ"/>
              </w:rPr>
              <w:t>125 809,43</w:t>
            </w:r>
          </w:p>
        </w:tc>
      </w:tr>
      <w:tr w:rsidR="00D6513E" w:rsidRPr="00445B8E" w:rsidTr="00BA58DA">
        <w:trPr>
          <w:trHeight w:val="315"/>
          <w:jc w:val="center"/>
        </w:trPr>
        <w:tc>
          <w:tcPr>
            <w:cnfStyle w:val="001000000000"/>
            <w:tcW w:w="2445" w:type="dxa"/>
            <w:vAlign w:val="center"/>
          </w:tcPr>
          <w:p w:rsidR="00D6513E" w:rsidRPr="00445B8E" w:rsidRDefault="00D6513E" w:rsidP="00BA58DA">
            <w:pPr>
              <w:spacing w:line="276" w:lineRule="auto"/>
              <w:jc w:val="center"/>
              <w:rPr>
                <w:b w:val="0"/>
                <w:color w:val="000000"/>
                <w:sz w:val="24"/>
                <w:szCs w:val="24"/>
                <w:lang w:eastAsia="cs-CZ"/>
              </w:rPr>
            </w:pPr>
            <w:r w:rsidRPr="00445B8E">
              <w:rPr>
                <w:b w:val="0"/>
                <w:color w:val="000000"/>
                <w:sz w:val="24"/>
                <w:szCs w:val="24"/>
                <w:lang w:eastAsia="cs-CZ"/>
              </w:rPr>
              <w:t>7. 8. 2017 - 7. 2. 2018</w:t>
            </w:r>
          </w:p>
        </w:tc>
        <w:tc>
          <w:tcPr>
            <w:tcW w:w="1801" w:type="dxa"/>
            <w:noWrap/>
            <w:vAlign w:val="center"/>
            <w:hideMark/>
          </w:tcPr>
          <w:p w:rsidR="00D6513E" w:rsidRPr="00BC004A" w:rsidRDefault="00D6513E" w:rsidP="00BA58DA">
            <w:pPr>
              <w:spacing w:line="276" w:lineRule="auto"/>
              <w:jc w:val="center"/>
              <w:cnfStyle w:val="000000000000"/>
              <w:rPr>
                <w:color w:val="000000"/>
                <w:sz w:val="24"/>
              </w:rPr>
            </w:pPr>
            <w:r w:rsidRPr="00BC004A">
              <w:rPr>
                <w:color w:val="000000"/>
                <w:sz w:val="24"/>
              </w:rPr>
              <w:t>0,7379</w:t>
            </w:r>
          </w:p>
        </w:tc>
        <w:tc>
          <w:tcPr>
            <w:tcW w:w="1619" w:type="dxa"/>
            <w:vAlign w:val="center"/>
          </w:tcPr>
          <w:p w:rsidR="00D6513E" w:rsidRPr="00437411" w:rsidRDefault="00D6513E" w:rsidP="00BA58DA">
            <w:pPr>
              <w:keepNext/>
              <w:spacing w:line="276" w:lineRule="auto"/>
              <w:jc w:val="center"/>
              <w:cnfStyle w:val="000000000000"/>
              <w:rPr>
                <w:color w:val="000000"/>
                <w:sz w:val="24"/>
              </w:rPr>
            </w:pPr>
            <w:r w:rsidRPr="00437411">
              <w:rPr>
                <w:color w:val="000000"/>
                <w:sz w:val="24"/>
              </w:rPr>
              <w:t>154 607,30</w:t>
            </w:r>
          </w:p>
        </w:tc>
        <w:tc>
          <w:tcPr>
            <w:tcW w:w="1738" w:type="dxa"/>
            <w:noWrap/>
            <w:vAlign w:val="center"/>
            <w:hideMark/>
          </w:tcPr>
          <w:p w:rsidR="00D6513E" w:rsidRPr="00A2279C" w:rsidRDefault="00D6513E" w:rsidP="00BA58DA">
            <w:pPr>
              <w:spacing w:line="276" w:lineRule="auto"/>
              <w:jc w:val="center"/>
              <w:cnfStyle w:val="000000000000"/>
              <w:rPr>
                <w:color w:val="FF0000"/>
                <w:sz w:val="24"/>
                <w:szCs w:val="24"/>
                <w:lang w:eastAsia="cs-CZ"/>
              </w:rPr>
            </w:pPr>
            <w:r w:rsidRPr="00A2279C">
              <w:rPr>
                <w:color w:val="FF0000"/>
                <w:sz w:val="24"/>
                <w:szCs w:val="24"/>
                <w:lang w:eastAsia="cs-CZ"/>
              </w:rPr>
              <w:t>135 528,64</w:t>
            </w:r>
          </w:p>
        </w:tc>
      </w:tr>
      <w:tr w:rsidR="00D6513E" w:rsidRPr="00445B8E" w:rsidTr="00BA58DA">
        <w:trPr>
          <w:cnfStyle w:val="010000000000"/>
          <w:trHeight w:val="315"/>
          <w:jc w:val="center"/>
        </w:trPr>
        <w:tc>
          <w:tcPr>
            <w:cnfStyle w:val="001000000000"/>
            <w:tcW w:w="2445" w:type="dxa"/>
            <w:vAlign w:val="center"/>
          </w:tcPr>
          <w:p w:rsidR="00D6513E" w:rsidRPr="00445B8E" w:rsidRDefault="00D6513E" w:rsidP="00BA58DA">
            <w:pPr>
              <w:spacing w:line="276" w:lineRule="auto"/>
              <w:jc w:val="center"/>
              <w:rPr>
                <w:b w:val="0"/>
                <w:color w:val="000000"/>
                <w:szCs w:val="24"/>
                <w:lang w:eastAsia="cs-CZ"/>
              </w:rPr>
            </w:pPr>
          </w:p>
        </w:tc>
        <w:tc>
          <w:tcPr>
            <w:tcW w:w="1801" w:type="dxa"/>
            <w:noWrap/>
            <w:vAlign w:val="center"/>
            <w:hideMark/>
          </w:tcPr>
          <w:p w:rsidR="00D6513E" w:rsidRPr="00BC004A" w:rsidRDefault="00D6513E" w:rsidP="00BA58DA">
            <w:pPr>
              <w:spacing w:line="276" w:lineRule="auto"/>
              <w:jc w:val="center"/>
              <w:cnfStyle w:val="010000000000"/>
              <w:rPr>
                <w:color w:val="000000"/>
              </w:rPr>
            </w:pPr>
          </w:p>
        </w:tc>
        <w:tc>
          <w:tcPr>
            <w:tcW w:w="1619" w:type="dxa"/>
            <w:vAlign w:val="center"/>
          </w:tcPr>
          <w:p w:rsidR="00D6513E" w:rsidRPr="00437411" w:rsidRDefault="00D6513E" w:rsidP="00BA58DA">
            <w:pPr>
              <w:keepNext/>
              <w:spacing w:line="276" w:lineRule="auto"/>
              <w:jc w:val="center"/>
              <w:cnfStyle w:val="010000000000"/>
              <w:rPr>
                <w:color w:val="000000"/>
              </w:rPr>
            </w:pPr>
          </w:p>
        </w:tc>
        <w:tc>
          <w:tcPr>
            <w:tcW w:w="1738" w:type="dxa"/>
            <w:noWrap/>
            <w:vAlign w:val="center"/>
            <w:hideMark/>
          </w:tcPr>
          <w:p w:rsidR="00D6513E" w:rsidRPr="00B66DD9" w:rsidRDefault="00D6513E" w:rsidP="00BA58DA">
            <w:pPr>
              <w:spacing w:line="276" w:lineRule="auto"/>
              <w:jc w:val="center"/>
              <w:cnfStyle w:val="010000000000"/>
              <w:rPr>
                <w:color w:val="auto"/>
                <w:sz w:val="24"/>
                <w:szCs w:val="24"/>
                <w:lang w:eastAsia="cs-CZ"/>
              </w:rPr>
            </w:pPr>
            <w:r>
              <w:rPr>
                <w:color w:val="auto"/>
                <w:sz w:val="24"/>
                <w:szCs w:val="24"/>
                <w:lang w:eastAsia="cs-CZ"/>
              </w:rPr>
              <w:t>1 190 657,64</w:t>
            </w:r>
          </w:p>
        </w:tc>
      </w:tr>
    </w:tbl>
    <w:p w:rsidR="006326EB" w:rsidRDefault="00BA58DA" w:rsidP="00C66A6D">
      <w:pPr>
        <w:spacing w:before="240" w:line="276" w:lineRule="auto"/>
        <w:jc w:val="both"/>
        <w:rPr>
          <w:i/>
          <w:sz w:val="20"/>
        </w:rPr>
      </w:pPr>
      <w:r>
        <w:rPr>
          <w:i/>
          <w:sz w:val="20"/>
        </w:rPr>
        <w:t xml:space="preserve">Pramen: Vlastní zpracování. </w:t>
      </w:r>
    </w:p>
    <w:p w:rsidR="00D6513E" w:rsidRPr="00BA58DA" w:rsidRDefault="006326EB" w:rsidP="00C66A6D">
      <w:pPr>
        <w:spacing w:after="240" w:line="276" w:lineRule="auto"/>
        <w:jc w:val="both"/>
        <w:rPr>
          <w:i/>
          <w:sz w:val="20"/>
        </w:rPr>
      </w:pPr>
      <w:r>
        <w:rPr>
          <w:i/>
          <w:sz w:val="20"/>
        </w:rPr>
        <w:t>Efektivní cena</w:t>
      </w:r>
      <w:r w:rsidR="00BA58DA">
        <w:rPr>
          <w:i/>
          <w:sz w:val="20"/>
        </w:rPr>
        <w:t xml:space="preserve"> uvedena v hodnotách EUR/USD. </w:t>
      </w:r>
      <w:r>
        <w:rPr>
          <w:i/>
          <w:sz w:val="20"/>
        </w:rPr>
        <w:t>H</w:t>
      </w:r>
      <w:r w:rsidR="00BA58DA">
        <w:rPr>
          <w:i/>
          <w:sz w:val="20"/>
        </w:rPr>
        <w:t>odnoty</w:t>
      </w:r>
      <w:r>
        <w:rPr>
          <w:i/>
          <w:sz w:val="20"/>
        </w:rPr>
        <w:t xml:space="preserve"> plateb uvedeny v  dolarech</w:t>
      </w:r>
      <w:r w:rsidR="00BA58DA">
        <w:rPr>
          <w:i/>
          <w:sz w:val="20"/>
        </w:rPr>
        <w:t>.</w:t>
      </w:r>
    </w:p>
    <w:p w:rsidR="00BA58DA" w:rsidRDefault="00BA58DA" w:rsidP="00D6513E">
      <w:pPr>
        <w:spacing w:after="240" w:line="276" w:lineRule="auto"/>
        <w:jc w:val="both"/>
      </w:pPr>
    </w:p>
    <w:p w:rsidR="00D6513E" w:rsidRDefault="00D6513E" w:rsidP="00D6513E">
      <w:pPr>
        <w:spacing w:after="240" w:line="276" w:lineRule="auto"/>
        <w:jc w:val="both"/>
      </w:pPr>
      <w:r>
        <w:t xml:space="preserve">Z Tabulky </w:t>
      </w:r>
      <w:r w:rsidR="00C66A6D">
        <w:t>11</w:t>
      </w:r>
      <w:r>
        <w:t xml:space="preserve"> je patrné, že zajištění pomocí měnových futures se společnosti </w:t>
      </w:r>
      <w:r w:rsidR="00361DA1">
        <w:t>Delor</w:t>
      </w:r>
      <w:r>
        <w:t xml:space="preserve"> nevyplatilo. V porovnání s možnou výslednou situací v případě nezajištění</w:t>
      </w:r>
      <w:r w:rsidR="00133242">
        <w:t xml:space="preserve"> rizika</w:t>
      </w:r>
      <w:r>
        <w:t xml:space="preserve"> je pouze ve</w:t>
      </w:r>
      <w:r w:rsidR="006326EB">
        <w:t> </w:t>
      </w:r>
      <w:r>
        <w:t xml:space="preserve">třech </w:t>
      </w:r>
      <w:r w:rsidR="004D0385">
        <w:t>z deseti případů</w:t>
      </w:r>
      <w:r>
        <w:t xml:space="preserve"> výsledná pozice při zajištění lepší. Ztrátové výsledky jsou v tabu</w:t>
      </w:r>
      <w:r w:rsidR="00C66A6D">
        <w:t>lce znázorněny červenou barvou.</w:t>
      </w:r>
    </w:p>
    <w:p w:rsidR="00D6513E" w:rsidRDefault="00D6513E" w:rsidP="00D6513E">
      <w:pPr>
        <w:spacing w:after="240" w:line="276" w:lineRule="auto"/>
        <w:jc w:val="both"/>
      </w:pPr>
      <w:r>
        <w:t xml:space="preserve">Celkem prostřednictvím zajištění pomocí měnových futures společnost </w:t>
      </w:r>
      <w:r w:rsidR="00361DA1">
        <w:t>Delor</w:t>
      </w:r>
      <w:r>
        <w:t xml:space="preserve"> za období pěti let inkasovala 1 190 657,64 </w:t>
      </w:r>
      <w:r w:rsidR="00447807">
        <w:t>USD</w:t>
      </w:r>
      <w:r>
        <w:t>.</w:t>
      </w:r>
      <w:r w:rsidR="00C66A6D">
        <w:t xml:space="preserve"> Pokud by k zajištění vůbec nedošlo, směnou na spotovém trhu by společnost získala celkem 1 229 813,30 </w:t>
      </w:r>
      <w:r w:rsidR="00447807">
        <w:t>USD</w:t>
      </w:r>
      <w:r w:rsidR="00C66A6D">
        <w:t>.</w:t>
      </w:r>
    </w:p>
    <w:p w:rsidR="00D6513E" w:rsidRDefault="00D6513E" w:rsidP="00D6513E">
      <w:pPr>
        <w:spacing w:after="240" w:line="276" w:lineRule="auto"/>
        <w:jc w:val="both"/>
      </w:pPr>
      <w:r>
        <w:t xml:space="preserve">Krom nepříznivých výsledných pozic je nutno také připomenout povinnost společnosti </w:t>
      </w:r>
      <w:r w:rsidR="00361DA1">
        <w:t>Delor</w:t>
      </w:r>
      <w:r>
        <w:t xml:space="preserve"> splatit počáteční marži a následnou povinnost udržovat stanovený limit na</w:t>
      </w:r>
      <w:r w:rsidR="00C66A6D">
        <w:t> </w:t>
      </w:r>
      <w:r>
        <w:t>maržovém účtu. Dalším záporem měnových futures tedy je, že se společnost musí na jistou dobu vzdát svých volných finančních prostředků.</w:t>
      </w:r>
    </w:p>
    <w:p w:rsidR="00D6513E" w:rsidRDefault="00D6513E" w:rsidP="00D6513E">
      <w:pPr>
        <w:spacing w:after="240" w:line="276" w:lineRule="auto"/>
        <w:jc w:val="both"/>
      </w:pPr>
    </w:p>
    <w:p w:rsidR="006326EB" w:rsidRDefault="006326EB">
      <w:pPr>
        <w:suppressAutoHyphens w:val="0"/>
        <w:spacing w:after="200" w:line="276" w:lineRule="auto"/>
        <w:rPr>
          <w:rFonts w:eastAsiaTheme="majorEastAsia" w:cstheme="majorBidi"/>
          <w:b/>
          <w:bCs/>
          <w:lang w:eastAsia="en-US"/>
        </w:rPr>
      </w:pPr>
      <w:r>
        <w:br w:type="page"/>
      </w:r>
    </w:p>
    <w:p w:rsidR="00D6513E" w:rsidRDefault="006326EB" w:rsidP="00D6513E">
      <w:pPr>
        <w:pStyle w:val="Nadpis3"/>
        <w:suppressAutoHyphens w:val="0"/>
      </w:pPr>
      <w:bookmarkStart w:id="95" w:name="_Toc354393078"/>
      <w:r>
        <w:lastRenderedPageBreak/>
        <w:t>Zajištění pomocí měnových</w:t>
      </w:r>
      <w:r w:rsidR="00D6513E">
        <w:t xml:space="preserve"> opc</w:t>
      </w:r>
      <w:r>
        <w:t>í</w:t>
      </w:r>
      <w:bookmarkEnd w:id="95"/>
    </w:p>
    <w:p w:rsidR="00D6513E" w:rsidRDefault="00D6513E" w:rsidP="00D6513E">
      <w:pPr>
        <w:spacing w:after="240" w:line="276" w:lineRule="auto"/>
        <w:jc w:val="both"/>
      </w:pPr>
      <w:r>
        <w:t xml:space="preserve">Společnost </w:t>
      </w:r>
      <w:r w:rsidR="00361DA1">
        <w:t>Delor</w:t>
      </w:r>
      <w:r>
        <w:t xml:space="preserve"> může k zajištění měnového rizika použít taktéž měnové opce. Opce lze sjednat na burzovním i mimoburzovním trhu. </w:t>
      </w:r>
      <w:r w:rsidR="00361DA1">
        <w:t>Delor</w:t>
      </w:r>
      <w:r>
        <w:t xml:space="preserve"> z důvodu individualizace podmínek zvolí variantu mimoburzovního sjednání, aby docílil co nejdokonalejšího zajištění. Společnost </w:t>
      </w:r>
      <w:r w:rsidR="00361DA1">
        <w:t>Delor</w:t>
      </w:r>
      <w:r>
        <w:t xml:space="preserve"> bude sjednávat opce evropského</w:t>
      </w:r>
      <w:r w:rsidR="00B32690">
        <w:t xml:space="preserve"> typu.</w:t>
      </w:r>
    </w:p>
    <w:p w:rsidR="00D6513E" w:rsidRDefault="00D6513E" w:rsidP="00D6513E">
      <w:pPr>
        <w:spacing w:after="240" w:line="276" w:lineRule="auto"/>
        <w:jc w:val="both"/>
      </w:pPr>
      <w:r>
        <w:t xml:space="preserve">Společnost chce v budoucnu prodávat sumu v eurech, nejvhodnější variantou je pro ni tedy pozice v long put opci. </w:t>
      </w:r>
      <w:r w:rsidR="00B32690">
        <w:t>Díky této opci b</w:t>
      </w:r>
      <w:r>
        <w:t xml:space="preserve">ude mít zajištěnou fixní realizační cenu, čímž bude mít jistotu, že za horší kurz eura vůči dolaru nesmění. Současně však bude mít možnost participovat na možném příznivém vývoji měnového kurzu, konkrétně na oslabení amerického dolaru vůči euru. Zároveň, pokud dojde k posílení dolaru, společnost není povinna opci uplatnit. </w:t>
      </w:r>
    </w:p>
    <w:p w:rsidR="00D6513E" w:rsidRDefault="00D6513E" w:rsidP="00D6513E">
      <w:pPr>
        <w:spacing w:after="240" w:line="276" w:lineRule="auto"/>
        <w:jc w:val="both"/>
      </w:pPr>
      <w:r>
        <w:t xml:space="preserve">Druhou možností je prodej call opce, tedy pozice short call. Společnost v tomto případě inkasuje opční prémii, ovšem je také vystavena riziku neomezené ztráty, což nesplňuje </w:t>
      </w:r>
      <w:r w:rsidR="00B32690">
        <w:t>požadavky společnosti</w:t>
      </w:r>
      <w:r>
        <w:t xml:space="preserve"> na zajištění proti riziku. Přesto</w:t>
      </w:r>
      <w:r w:rsidR="004D0385">
        <w:t xml:space="preserve"> bude pro srovnání tato možnost popsána</w:t>
      </w:r>
      <w:r>
        <w:t>.</w:t>
      </w:r>
    </w:p>
    <w:p w:rsidR="00B32690" w:rsidRDefault="00B32690" w:rsidP="00D6513E">
      <w:pPr>
        <w:spacing w:after="240" w:line="276" w:lineRule="auto"/>
        <w:jc w:val="both"/>
      </w:pPr>
    </w:p>
    <w:p w:rsidR="00D6513E" w:rsidRPr="00B32690" w:rsidRDefault="006326EB" w:rsidP="00D6513E">
      <w:pPr>
        <w:pStyle w:val="Odstavecseseznamem"/>
        <w:numPr>
          <w:ilvl w:val="0"/>
          <w:numId w:val="22"/>
        </w:numPr>
        <w:spacing w:after="240"/>
        <w:jc w:val="both"/>
        <w:rPr>
          <w:rFonts w:ascii="Times New Roman" w:hAnsi="Times New Roman" w:cs="Times New Roman"/>
          <w:sz w:val="24"/>
        </w:rPr>
      </w:pPr>
      <w:r>
        <w:rPr>
          <w:rFonts w:ascii="Times New Roman" w:hAnsi="Times New Roman" w:cs="Times New Roman"/>
          <w:b/>
          <w:sz w:val="24"/>
        </w:rPr>
        <w:t>Zajištění pomocí měnových</w:t>
      </w:r>
      <w:r w:rsidR="00D6513E" w:rsidRPr="00B32690">
        <w:rPr>
          <w:rFonts w:ascii="Times New Roman" w:hAnsi="Times New Roman" w:cs="Times New Roman"/>
          <w:b/>
          <w:sz w:val="24"/>
        </w:rPr>
        <w:t xml:space="preserve"> long put opc</w:t>
      </w:r>
      <w:r>
        <w:rPr>
          <w:rFonts w:ascii="Times New Roman" w:hAnsi="Times New Roman" w:cs="Times New Roman"/>
          <w:b/>
          <w:sz w:val="24"/>
        </w:rPr>
        <w:t>í</w:t>
      </w:r>
    </w:p>
    <w:p w:rsidR="00D6513E" w:rsidRDefault="00D6513E" w:rsidP="00D6513E">
      <w:pPr>
        <w:spacing w:after="240" w:line="276" w:lineRule="auto"/>
        <w:jc w:val="both"/>
      </w:pPr>
      <w:r>
        <w:t>Při stano</w:t>
      </w:r>
      <w:r w:rsidR="00306791">
        <w:t>vování ceny měnových opcí bude počítáno</w:t>
      </w:r>
      <w:r>
        <w:t xml:space="preserve"> s měnovým kurzem USD/EUR. Je to z toho </w:t>
      </w:r>
      <w:r w:rsidR="00B32690">
        <w:t>důvodu, že je u měnových opcí</w:t>
      </w:r>
      <w:r>
        <w:t xml:space="preserve"> důležité, aby v měnovém páru jako první vystupovala domácí měna, v </w:t>
      </w:r>
      <w:r w:rsidR="00306791">
        <w:t>tomto případě americký dolar.</w:t>
      </w:r>
    </w:p>
    <w:p w:rsidR="00D6513E" w:rsidRPr="002D1A97" w:rsidRDefault="00D6513E" w:rsidP="00D6513E">
      <w:pPr>
        <w:spacing w:after="240" w:line="276" w:lineRule="auto"/>
        <w:jc w:val="both"/>
        <w:rPr>
          <w:color w:val="09990C"/>
        </w:rPr>
      </w:pPr>
      <w:r>
        <w:t xml:space="preserve">Za nákup opce musí společnost zaplatit opční prémii. Pro její výpočet </w:t>
      </w:r>
      <w:r w:rsidR="00306791">
        <w:t>je třeba použít</w:t>
      </w:r>
      <w:r>
        <w:t xml:space="preserve"> oceňovací </w:t>
      </w:r>
      <w:r w:rsidRPr="00046B31">
        <w:t>model Garman-Kohlhagen:</w:t>
      </w:r>
    </w:p>
    <w:p w:rsidR="00D6513E" w:rsidRDefault="00D6513E" w:rsidP="00D6513E">
      <w:pPr>
        <w:spacing w:after="240" w:line="276" w:lineRule="auto"/>
        <w:jc w:val="both"/>
        <w:rPr>
          <w:rFonts w:eastAsiaTheme="minorEastAsia"/>
        </w:rPr>
      </w:pPr>
      <m:oMathPara>
        <m:oMathParaPr>
          <m:jc m:val="center"/>
        </m:oMathParaPr>
        <m:oMath>
          <m:r>
            <w:rPr>
              <w:rFonts w:ascii="Cambria Math" w:hAnsi="Cambria Math"/>
            </w:rPr>
            <m:t>P=-</m:t>
          </m:r>
          <m:f>
            <m:fPr>
              <m:ctrlPr>
                <w:rPr>
                  <w:rFonts w:ascii="Cambria Math" w:hAnsi="Cambria Math"/>
                  <w:i/>
                </w:rPr>
              </m:ctrlPr>
            </m:fPr>
            <m:num>
              <m:r>
                <w:rPr>
                  <w:rFonts w:ascii="Cambria Math" w:hAnsi="Cambria Math"/>
                </w:rPr>
                <m:t>S</m:t>
              </m:r>
            </m:num>
            <m:den>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r</m:t>
                      </m:r>
                    </m:e>
                    <m:sub>
                      <m:r>
                        <w:rPr>
                          <w:rFonts w:ascii="Cambria Math" w:hAnsi="Cambria Math"/>
                        </w:rPr>
                        <m:t>CM</m:t>
                      </m:r>
                    </m:sub>
                  </m:sSub>
                  <m:r>
                    <w:rPr>
                      <w:rFonts w:ascii="Cambria Math" w:hAnsi="Cambria Math"/>
                    </w:rPr>
                    <m:t>*t</m:t>
                  </m:r>
                </m:sup>
              </m:sSup>
            </m:den>
          </m:f>
          <m:r>
            <w:rPr>
              <w:rFonts w:ascii="Cambria Math" w:hAnsi="Cambria Math"/>
            </w:rPr>
            <m:t>*N</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e>
          </m:d>
          <m:r>
            <w:rPr>
              <w:rFonts w:ascii="Cambria Math" w:hAnsi="Cambria Math"/>
            </w:rPr>
            <m:t>+</m:t>
          </m:r>
          <m:f>
            <m:fPr>
              <m:ctrlPr>
                <w:rPr>
                  <w:rFonts w:ascii="Cambria Math" w:hAnsi="Cambria Math"/>
                  <w:i/>
                </w:rPr>
              </m:ctrlPr>
            </m:fPr>
            <m:num>
              <m:r>
                <w:rPr>
                  <w:rFonts w:ascii="Cambria Math" w:hAnsi="Cambria Math"/>
                </w:rPr>
                <m:t>X</m:t>
              </m:r>
            </m:num>
            <m:den>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r</m:t>
                      </m:r>
                    </m:e>
                    <m:sub>
                      <m:r>
                        <w:rPr>
                          <w:rFonts w:ascii="Cambria Math" w:hAnsi="Cambria Math"/>
                        </w:rPr>
                        <m:t>DM</m:t>
                      </m:r>
                    </m:sub>
                  </m:sSub>
                  <m:r>
                    <w:rPr>
                      <w:rFonts w:ascii="Cambria Math" w:hAnsi="Cambria Math"/>
                    </w:rPr>
                    <m:t>*t</m:t>
                  </m:r>
                </m:sup>
              </m:sSup>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m:t>
          </m:r>
        </m:oMath>
      </m:oMathPara>
    </w:p>
    <w:p w:rsidR="00D6513E" w:rsidRDefault="00D6513E" w:rsidP="00D6513E">
      <w:pPr>
        <w:spacing w:after="240" w:line="276" w:lineRule="auto"/>
        <w:jc w:val="both"/>
        <w:rPr>
          <w:rFonts w:eastAsiaTheme="minorEastAsia"/>
        </w:rPr>
      </w:pPr>
      <w:r>
        <w:rPr>
          <w:rFonts w:eastAsiaTheme="minorEastAsia"/>
        </w:rPr>
        <w:t xml:space="preserve">Hodnoty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rPr>
          <w:rFonts w:eastAsiaTheme="minorEastAsia"/>
        </w:rPr>
        <w:t xml:space="preserve"> a </w:t>
      </w:r>
      <m:oMath>
        <m:sSub>
          <m:sSubPr>
            <m:ctrlPr>
              <w:rPr>
                <w:rFonts w:ascii="Cambria Math" w:hAnsi="Cambria Math"/>
                <w:i/>
              </w:rPr>
            </m:ctrlPr>
          </m:sSubPr>
          <m:e>
            <m:r>
              <w:rPr>
                <w:rFonts w:ascii="Cambria Math" w:hAnsi="Cambria Math"/>
              </w:rPr>
              <m:t>d</m:t>
            </m:r>
          </m:e>
          <m:sub>
            <m:r>
              <w:rPr>
                <w:rFonts w:ascii="Cambria Math" w:hAnsi="Cambria Math"/>
              </w:rPr>
              <m:t>2</m:t>
            </m:r>
          </m:sub>
        </m:sSub>
      </m:oMath>
      <w:r>
        <w:rPr>
          <w:rFonts w:eastAsiaTheme="minorEastAsia"/>
        </w:rPr>
        <w:t xml:space="preserve"> získáme z následujících vzorců:</w:t>
      </w:r>
    </w:p>
    <w:p w:rsidR="00D6513E" w:rsidRDefault="00FA567C" w:rsidP="00D6513E">
      <w:pPr>
        <w:spacing w:after="240" w:line="276" w:lineRule="auto"/>
        <w:jc w:val="both"/>
        <w:rPr>
          <w:rFonts w:eastAsiaTheme="minorEastAsia"/>
        </w:rPr>
      </w:pPr>
      <m:oMathPara>
        <m:oMath>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S</m:t>
                          </m:r>
                        </m:num>
                        <m:den>
                          <m:r>
                            <w:rPr>
                              <w:rFonts w:ascii="Cambria Math" w:hAnsi="Cambria Math"/>
                            </w:rPr>
                            <m:t>X</m:t>
                          </m:r>
                        </m:den>
                      </m:f>
                    </m:e>
                  </m:d>
                  <m:ctrlPr>
                    <w:rPr>
                      <w:rFonts w:ascii="Cambria Math" w:hAnsi="Cambria Math"/>
                      <w:i/>
                    </w:rPr>
                  </m:ctrlPr>
                </m:e>
              </m:func>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DM</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CM</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σ</m:t>
                          </m:r>
                        </m:e>
                        <m:sup>
                          <m:r>
                            <w:rPr>
                              <w:rFonts w:ascii="Cambria Math" w:hAnsi="Cambria Math"/>
                            </w:rPr>
                            <m:t>2</m:t>
                          </m:r>
                        </m:sup>
                      </m:sSup>
                    </m:num>
                    <m:den>
                      <m:r>
                        <w:rPr>
                          <w:rFonts w:ascii="Cambria Math" w:hAnsi="Cambria Math"/>
                        </w:rPr>
                        <m:t>2</m:t>
                      </m:r>
                    </m:den>
                  </m:f>
                </m:e>
              </m:d>
              <m:r>
                <w:rPr>
                  <w:rFonts w:ascii="Cambria Math" w:hAnsi="Cambria Math"/>
                </w:rPr>
                <m:t>*t</m:t>
              </m:r>
            </m:num>
            <m:den>
              <m:r>
                <w:rPr>
                  <w:rFonts w:ascii="Cambria Math" w:hAnsi="Cambria Math"/>
                </w:rPr>
                <m:t>σ*</m:t>
              </m:r>
              <m:rad>
                <m:radPr>
                  <m:degHide m:val="on"/>
                  <m:ctrlPr>
                    <w:rPr>
                      <w:rFonts w:ascii="Cambria Math" w:hAnsi="Cambria Math"/>
                      <w:i/>
                    </w:rPr>
                  </m:ctrlPr>
                </m:radPr>
                <m:deg/>
                <m:e>
                  <m:r>
                    <w:rPr>
                      <w:rFonts w:ascii="Cambria Math" w:hAnsi="Cambria Math"/>
                    </w:rPr>
                    <m:t>t</m:t>
                  </m:r>
                </m:e>
              </m:rad>
            </m:den>
          </m:f>
        </m:oMath>
      </m:oMathPara>
    </w:p>
    <w:p w:rsidR="00D6513E" w:rsidRDefault="00FA567C" w:rsidP="00D6513E">
      <w:pPr>
        <w:spacing w:after="240" w:line="276" w:lineRule="auto"/>
        <w:jc w:val="both"/>
      </w:pPr>
      <m:oMathPara>
        <m:oMath>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-σ*</m:t>
          </m:r>
          <m:rad>
            <m:radPr>
              <m:degHide m:val="on"/>
              <m:ctrlPr>
                <w:rPr>
                  <w:rFonts w:ascii="Cambria Math" w:hAnsi="Cambria Math"/>
                  <w:i/>
                </w:rPr>
              </m:ctrlPr>
            </m:radPr>
            <m:deg/>
            <m:e>
              <m:r>
                <w:rPr>
                  <w:rFonts w:ascii="Cambria Math" w:hAnsi="Cambria Math"/>
                </w:rPr>
                <m:t>t</m:t>
              </m:r>
            </m:e>
          </m:rad>
        </m:oMath>
      </m:oMathPara>
    </w:p>
    <w:p w:rsidR="00D6513E" w:rsidRDefault="00D6513E" w:rsidP="00D6513E">
      <w:pPr>
        <w:spacing w:after="240" w:line="276" w:lineRule="auto"/>
        <w:jc w:val="both"/>
      </w:pPr>
      <w:r>
        <w:t xml:space="preserve">Společnost </w:t>
      </w:r>
      <w:r w:rsidR="00361DA1">
        <w:t>Delor</w:t>
      </w:r>
      <w:r>
        <w:t xml:space="preserve"> </w:t>
      </w:r>
      <w:r w:rsidR="00B32690">
        <w:t>s obchodním partnerem domluví při</w:t>
      </w:r>
      <w:r>
        <w:t xml:space="preserve"> sjednání opce následující podmín</w:t>
      </w:r>
      <w:r w:rsidR="00306791">
        <w:t>ky: Realizační cena je stanovena</w:t>
      </w:r>
      <w:r>
        <w:t xml:space="preserve"> na úrovni současné h</w:t>
      </w:r>
      <w:r w:rsidR="00306791">
        <w:t>odnoty spotového měnového kurzu,</w:t>
      </w:r>
      <w:r>
        <w:t xml:space="preserve"> tedy 1,3398 USD/EUR. Celkem bude </w:t>
      </w:r>
      <w:r w:rsidR="00361DA1">
        <w:t>Delor</w:t>
      </w:r>
      <w:r>
        <w:t xml:space="preserve"> sjednávat deset opční</w:t>
      </w:r>
      <w:r w:rsidR="00306791">
        <w:t>ch</w:t>
      </w:r>
      <w:r>
        <w:t xml:space="preserve"> kontraktů. Jejich splatnost bude odstupňována od půl roku do pěti let v půlročních interva</w:t>
      </w:r>
      <w:r w:rsidR="00B32690">
        <w:t>lech. Datum sjednání opcí je</w:t>
      </w:r>
      <w:r w:rsidR="006326EB">
        <w:t> </w:t>
      </w:r>
      <w:r w:rsidR="00B32690">
        <w:t>7. 2. </w:t>
      </w:r>
      <w:r>
        <w:t>2013. Proměnné nutné k výpočtu opční prémie jsou uvedeny v</w:t>
      </w:r>
      <w:r w:rsidR="00DC1E2D">
        <w:t> T</w:t>
      </w:r>
      <w:r>
        <w:t>abulce</w:t>
      </w:r>
      <w:r w:rsidR="00DC1E2D">
        <w:t> 12</w:t>
      </w:r>
      <w:r>
        <w:t>.</w:t>
      </w:r>
    </w:p>
    <w:p w:rsidR="00306791" w:rsidRDefault="00306791" w:rsidP="00D6513E">
      <w:pPr>
        <w:spacing w:after="240" w:line="276" w:lineRule="auto"/>
        <w:jc w:val="both"/>
      </w:pPr>
    </w:p>
    <w:p w:rsidR="00B32690" w:rsidRPr="00F000E4" w:rsidRDefault="00B32690" w:rsidP="006326EB">
      <w:pPr>
        <w:suppressAutoHyphens w:val="0"/>
        <w:spacing w:after="200" w:line="276" w:lineRule="auto"/>
      </w:pPr>
      <w:bookmarkStart w:id="96" w:name="_Toc354393035"/>
      <w:r w:rsidRPr="00F000E4">
        <w:lastRenderedPageBreak/>
        <w:t xml:space="preserve">Tabulka </w:t>
      </w:r>
      <w:r w:rsidR="00FA567C" w:rsidRPr="00F000E4">
        <w:fldChar w:fldCharType="begin"/>
      </w:r>
      <w:r w:rsidRPr="00F000E4">
        <w:instrText xml:space="preserve"> SEQ Tabulka \* ARABIC </w:instrText>
      </w:r>
      <w:r w:rsidR="00FA567C" w:rsidRPr="00F000E4">
        <w:fldChar w:fldCharType="separate"/>
      </w:r>
      <w:r w:rsidR="00E477F4">
        <w:rPr>
          <w:noProof/>
        </w:rPr>
        <w:t>12</w:t>
      </w:r>
      <w:r w:rsidR="00FA567C" w:rsidRPr="00F000E4">
        <w:fldChar w:fldCharType="end"/>
      </w:r>
      <w:r w:rsidRPr="00F000E4">
        <w:t>: Hodnoty proměnných pro výpočet opční prémie</w:t>
      </w:r>
      <w:bookmarkEnd w:id="96"/>
    </w:p>
    <w:tbl>
      <w:tblPr>
        <w:tblStyle w:val="Svtlstnovn1"/>
        <w:tblW w:w="0" w:type="auto"/>
        <w:jc w:val="center"/>
        <w:tblLook w:val="04A0"/>
      </w:tblPr>
      <w:tblGrid>
        <w:gridCol w:w="5575"/>
        <w:gridCol w:w="2126"/>
      </w:tblGrid>
      <w:tr w:rsidR="00D6513E" w:rsidTr="00B32690">
        <w:trPr>
          <w:cnfStyle w:val="100000000000"/>
          <w:jc w:val="center"/>
        </w:trPr>
        <w:tc>
          <w:tcPr>
            <w:cnfStyle w:val="001000000000"/>
            <w:tcW w:w="5575" w:type="dxa"/>
            <w:vAlign w:val="center"/>
          </w:tcPr>
          <w:p w:rsidR="00D6513E" w:rsidRPr="00F31468" w:rsidRDefault="00D6513E" w:rsidP="00B32690">
            <w:pPr>
              <w:spacing w:line="276" w:lineRule="auto"/>
              <w:rPr>
                <w:color w:val="auto"/>
                <w:sz w:val="24"/>
              </w:rPr>
            </w:pPr>
            <w:r w:rsidRPr="00F31468">
              <w:rPr>
                <w:color w:val="auto"/>
                <w:sz w:val="24"/>
              </w:rPr>
              <w:t>Proměnná</w:t>
            </w:r>
          </w:p>
        </w:tc>
        <w:tc>
          <w:tcPr>
            <w:tcW w:w="2126" w:type="dxa"/>
            <w:vAlign w:val="center"/>
          </w:tcPr>
          <w:p w:rsidR="00D6513E" w:rsidRPr="00F31468" w:rsidRDefault="00D6513E" w:rsidP="00B32690">
            <w:pPr>
              <w:spacing w:line="276" w:lineRule="auto"/>
              <w:cnfStyle w:val="100000000000"/>
              <w:rPr>
                <w:color w:val="auto"/>
                <w:sz w:val="24"/>
              </w:rPr>
            </w:pPr>
            <w:r w:rsidRPr="00F31468">
              <w:rPr>
                <w:color w:val="auto"/>
                <w:sz w:val="24"/>
              </w:rPr>
              <w:t>Hodnota</w:t>
            </w:r>
          </w:p>
        </w:tc>
      </w:tr>
      <w:tr w:rsidR="00D6513E" w:rsidTr="001433CF">
        <w:trPr>
          <w:cnfStyle w:val="000000100000"/>
          <w:jc w:val="center"/>
        </w:trPr>
        <w:tc>
          <w:tcPr>
            <w:cnfStyle w:val="001000000000"/>
            <w:tcW w:w="5575" w:type="dxa"/>
            <w:shd w:val="clear" w:color="auto" w:fill="D9D9D9" w:themeFill="background1" w:themeFillShade="D9"/>
            <w:vAlign w:val="center"/>
          </w:tcPr>
          <w:p w:rsidR="00D6513E" w:rsidRPr="00F31468" w:rsidRDefault="00D6513E" w:rsidP="00B32690">
            <w:pPr>
              <w:spacing w:line="276" w:lineRule="auto"/>
              <w:rPr>
                <w:b w:val="0"/>
                <w:color w:val="auto"/>
                <w:sz w:val="24"/>
              </w:rPr>
            </w:pPr>
            <w:r>
              <w:rPr>
                <w:b w:val="0"/>
                <w:color w:val="auto"/>
                <w:sz w:val="24"/>
              </w:rPr>
              <w:t>Spotový měnový</w:t>
            </w:r>
            <w:r w:rsidRPr="00F31468">
              <w:rPr>
                <w:b w:val="0"/>
                <w:color w:val="auto"/>
                <w:sz w:val="24"/>
              </w:rPr>
              <w:t xml:space="preserve"> kurz (S)</w:t>
            </w:r>
          </w:p>
        </w:tc>
        <w:tc>
          <w:tcPr>
            <w:tcW w:w="2126" w:type="dxa"/>
            <w:shd w:val="clear" w:color="auto" w:fill="D9D9D9" w:themeFill="background1" w:themeFillShade="D9"/>
            <w:vAlign w:val="center"/>
          </w:tcPr>
          <w:p w:rsidR="00D6513E" w:rsidRPr="00F31468" w:rsidRDefault="00D6513E" w:rsidP="00B32690">
            <w:pPr>
              <w:spacing w:line="276" w:lineRule="auto"/>
              <w:cnfStyle w:val="000000100000"/>
              <w:rPr>
                <w:color w:val="auto"/>
                <w:sz w:val="24"/>
              </w:rPr>
            </w:pPr>
            <w:r w:rsidRPr="00F31468">
              <w:rPr>
                <w:color w:val="auto"/>
                <w:sz w:val="24"/>
              </w:rPr>
              <w:t>1,3398 USD/EUR</w:t>
            </w:r>
          </w:p>
        </w:tc>
      </w:tr>
      <w:tr w:rsidR="00D6513E" w:rsidTr="00B32690">
        <w:trPr>
          <w:jc w:val="center"/>
        </w:trPr>
        <w:tc>
          <w:tcPr>
            <w:cnfStyle w:val="001000000000"/>
            <w:tcW w:w="5575" w:type="dxa"/>
            <w:vAlign w:val="center"/>
          </w:tcPr>
          <w:p w:rsidR="00D6513E" w:rsidRPr="00F31468" w:rsidRDefault="00D6513E" w:rsidP="00B32690">
            <w:pPr>
              <w:spacing w:line="276" w:lineRule="auto"/>
              <w:rPr>
                <w:b w:val="0"/>
                <w:color w:val="auto"/>
                <w:sz w:val="24"/>
              </w:rPr>
            </w:pPr>
            <w:r w:rsidRPr="00F31468">
              <w:rPr>
                <w:b w:val="0"/>
                <w:color w:val="auto"/>
                <w:sz w:val="24"/>
              </w:rPr>
              <w:t>Realizační cena</w:t>
            </w:r>
            <w:r>
              <w:rPr>
                <w:b w:val="0"/>
                <w:color w:val="auto"/>
                <w:sz w:val="24"/>
              </w:rPr>
              <w:t xml:space="preserve"> (X)</w:t>
            </w:r>
          </w:p>
        </w:tc>
        <w:tc>
          <w:tcPr>
            <w:tcW w:w="2126" w:type="dxa"/>
            <w:vAlign w:val="center"/>
          </w:tcPr>
          <w:p w:rsidR="00D6513E" w:rsidRPr="00F31468" w:rsidRDefault="00D6513E" w:rsidP="00B32690">
            <w:pPr>
              <w:spacing w:line="276" w:lineRule="auto"/>
              <w:cnfStyle w:val="000000000000"/>
              <w:rPr>
                <w:color w:val="auto"/>
                <w:sz w:val="24"/>
              </w:rPr>
            </w:pPr>
            <w:r w:rsidRPr="00F31468">
              <w:rPr>
                <w:color w:val="auto"/>
                <w:sz w:val="24"/>
              </w:rPr>
              <w:t>1,3398 USD/EUR</w:t>
            </w:r>
          </w:p>
        </w:tc>
      </w:tr>
      <w:tr w:rsidR="00D6513E" w:rsidTr="001433CF">
        <w:trPr>
          <w:cnfStyle w:val="000000100000"/>
          <w:jc w:val="center"/>
        </w:trPr>
        <w:tc>
          <w:tcPr>
            <w:cnfStyle w:val="001000000000"/>
            <w:tcW w:w="5575" w:type="dxa"/>
            <w:shd w:val="clear" w:color="auto" w:fill="D9D9D9" w:themeFill="background1" w:themeFillShade="D9"/>
            <w:vAlign w:val="center"/>
          </w:tcPr>
          <w:p w:rsidR="00D6513E" w:rsidRPr="00046B31" w:rsidRDefault="00D6513E" w:rsidP="00B32690">
            <w:pPr>
              <w:spacing w:line="276" w:lineRule="auto"/>
              <w:rPr>
                <w:b w:val="0"/>
                <w:color w:val="auto"/>
                <w:sz w:val="24"/>
              </w:rPr>
            </w:pPr>
            <w:r w:rsidRPr="00046B31">
              <w:rPr>
                <w:b w:val="0"/>
                <w:color w:val="auto"/>
                <w:sz w:val="24"/>
              </w:rPr>
              <w:t xml:space="preserve">Bezriziková úroková míra domácí měny – </w:t>
            </w:r>
            <w:r w:rsidR="00447807">
              <w:rPr>
                <w:b w:val="0"/>
                <w:color w:val="auto"/>
                <w:sz w:val="24"/>
              </w:rPr>
              <w:t>USD</w:t>
            </w:r>
            <w:r w:rsidRPr="00046B31">
              <w:rPr>
                <w:b w:val="0"/>
                <w:color w:val="auto"/>
                <w:sz w:val="24"/>
              </w:rPr>
              <w:t xml:space="preserve"> (</w:t>
            </w:r>
            <m:oMath>
              <m:sSub>
                <m:sSubPr>
                  <m:ctrlPr>
                    <w:rPr>
                      <w:rFonts w:ascii="Cambria Math" w:hAnsi="Cambria Math"/>
                      <w:b w:val="0"/>
                      <w:bCs w:val="0"/>
                      <w:i/>
                      <w:color w:val="auto"/>
                      <w:sz w:val="24"/>
                    </w:rPr>
                  </m:ctrlPr>
                </m:sSubPr>
                <m:e>
                  <m:r>
                    <m:rPr>
                      <m:sty m:val="bi"/>
                    </m:rPr>
                    <w:rPr>
                      <w:rFonts w:ascii="Cambria Math" w:hAnsi="Cambria Math"/>
                      <w:color w:val="auto"/>
                    </w:rPr>
                    <m:t>r</m:t>
                  </m:r>
                </m:e>
                <m:sub>
                  <m:r>
                    <m:rPr>
                      <m:sty m:val="bi"/>
                    </m:rPr>
                    <w:rPr>
                      <w:rFonts w:ascii="Cambria Math" w:hAnsi="Cambria Math"/>
                      <w:color w:val="auto"/>
                    </w:rPr>
                    <m:t>DM</m:t>
                  </m:r>
                </m:sub>
              </m:sSub>
              <m:r>
                <m:rPr>
                  <m:sty m:val="bi"/>
                </m:rPr>
                <w:rPr>
                  <w:rFonts w:ascii="Cambria Math" w:hAnsi="Cambria Math"/>
                  <w:color w:val="auto"/>
                  <w:sz w:val="24"/>
                </w:rPr>
                <m:t>)</m:t>
              </m:r>
            </m:oMath>
          </w:p>
        </w:tc>
        <w:tc>
          <w:tcPr>
            <w:tcW w:w="2126" w:type="dxa"/>
            <w:shd w:val="clear" w:color="auto" w:fill="D9D9D9" w:themeFill="background1" w:themeFillShade="D9"/>
            <w:vAlign w:val="center"/>
          </w:tcPr>
          <w:p w:rsidR="00D6513E" w:rsidRPr="00F31468" w:rsidRDefault="00D6513E" w:rsidP="00B32690">
            <w:pPr>
              <w:spacing w:line="276" w:lineRule="auto"/>
              <w:cnfStyle w:val="000000100000"/>
              <w:rPr>
                <w:color w:val="auto"/>
                <w:sz w:val="24"/>
              </w:rPr>
            </w:pPr>
            <w:r w:rsidRPr="00F31468">
              <w:rPr>
                <w:color w:val="auto"/>
                <w:sz w:val="24"/>
              </w:rPr>
              <w:t>0,15 %</w:t>
            </w:r>
          </w:p>
        </w:tc>
      </w:tr>
      <w:tr w:rsidR="00D6513E" w:rsidTr="00B32690">
        <w:trPr>
          <w:jc w:val="center"/>
        </w:trPr>
        <w:tc>
          <w:tcPr>
            <w:cnfStyle w:val="001000000000"/>
            <w:tcW w:w="5575" w:type="dxa"/>
            <w:vAlign w:val="center"/>
          </w:tcPr>
          <w:p w:rsidR="00D6513E" w:rsidRPr="00046B31" w:rsidRDefault="00D6513E" w:rsidP="00B32690">
            <w:pPr>
              <w:spacing w:line="276" w:lineRule="auto"/>
              <w:rPr>
                <w:b w:val="0"/>
                <w:color w:val="auto"/>
                <w:sz w:val="24"/>
              </w:rPr>
            </w:pPr>
            <w:r w:rsidRPr="00046B31">
              <w:rPr>
                <w:b w:val="0"/>
                <w:color w:val="auto"/>
                <w:sz w:val="24"/>
              </w:rPr>
              <w:t xml:space="preserve">Bezriziková úroková míra cizí měny – </w:t>
            </w:r>
            <w:r w:rsidR="00447807">
              <w:rPr>
                <w:b w:val="0"/>
                <w:color w:val="auto"/>
                <w:sz w:val="24"/>
              </w:rPr>
              <w:t>EUR</w:t>
            </w:r>
            <w:r w:rsidRPr="00046B31">
              <w:rPr>
                <w:b w:val="0"/>
                <w:color w:val="auto"/>
                <w:sz w:val="24"/>
              </w:rPr>
              <w:t xml:space="preserve"> (</w:t>
            </w:r>
            <m:oMath>
              <m:sSub>
                <m:sSubPr>
                  <m:ctrlPr>
                    <w:rPr>
                      <w:rFonts w:ascii="Cambria Math" w:hAnsi="Cambria Math"/>
                      <w:b w:val="0"/>
                      <w:bCs w:val="0"/>
                      <w:i/>
                      <w:color w:val="auto"/>
                      <w:sz w:val="24"/>
                    </w:rPr>
                  </m:ctrlPr>
                </m:sSubPr>
                <m:e>
                  <m:r>
                    <m:rPr>
                      <m:sty m:val="bi"/>
                    </m:rPr>
                    <w:rPr>
                      <w:rFonts w:ascii="Cambria Math" w:hAnsi="Cambria Math"/>
                      <w:color w:val="auto"/>
                    </w:rPr>
                    <m:t>r</m:t>
                  </m:r>
                </m:e>
                <m:sub>
                  <m:r>
                    <m:rPr>
                      <m:sty m:val="bi"/>
                    </m:rPr>
                    <w:rPr>
                      <w:rFonts w:ascii="Cambria Math" w:hAnsi="Cambria Math"/>
                      <w:color w:val="auto"/>
                    </w:rPr>
                    <m:t>CM</m:t>
                  </m:r>
                </m:sub>
              </m:sSub>
              <m:r>
                <m:rPr>
                  <m:sty m:val="bi"/>
                </m:rPr>
                <w:rPr>
                  <w:rFonts w:ascii="Cambria Math" w:hAnsi="Cambria Math"/>
                  <w:color w:val="auto"/>
                  <w:sz w:val="24"/>
                </w:rPr>
                <m:t>)</m:t>
              </m:r>
            </m:oMath>
          </w:p>
        </w:tc>
        <w:tc>
          <w:tcPr>
            <w:tcW w:w="2126" w:type="dxa"/>
            <w:vAlign w:val="center"/>
          </w:tcPr>
          <w:p w:rsidR="00D6513E" w:rsidRPr="00F31468" w:rsidRDefault="00D6513E" w:rsidP="00B32690">
            <w:pPr>
              <w:spacing w:line="276" w:lineRule="auto"/>
              <w:cnfStyle w:val="000000000000"/>
              <w:rPr>
                <w:color w:val="auto"/>
                <w:sz w:val="24"/>
              </w:rPr>
            </w:pPr>
            <w:r w:rsidRPr="00F31468">
              <w:rPr>
                <w:color w:val="auto"/>
                <w:sz w:val="24"/>
              </w:rPr>
              <w:t>0,09 %</w:t>
            </w:r>
          </w:p>
        </w:tc>
      </w:tr>
      <w:tr w:rsidR="00D6513E" w:rsidTr="001433CF">
        <w:trPr>
          <w:cnfStyle w:val="000000100000"/>
          <w:jc w:val="center"/>
        </w:trPr>
        <w:tc>
          <w:tcPr>
            <w:cnfStyle w:val="001000000000"/>
            <w:tcW w:w="5575" w:type="dxa"/>
            <w:shd w:val="clear" w:color="auto" w:fill="D9D9D9" w:themeFill="background1" w:themeFillShade="D9"/>
            <w:vAlign w:val="center"/>
          </w:tcPr>
          <w:p w:rsidR="00D6513E" w:rsidRPr="00046B31" w:rsidRDefault="00D6513E" w:rsidP="00B32690">
            <w:pPr>
              <w:spacing w:line="276" w:lineRule="auto"/>
              <w:rPr>
                <w:b w:val="0"/>
                <w:color w:val="auto"/>
                <w:sz w:val="24"/>
              </w:rPr>
            </w:pPr>
            <w:r w:rsidRPr="00046B31">
              <w:rPr>
                <w:b w:val="0"/>
                <w:color w:val="auto"/>
                <w:sz w:val="24"/>
              </w:rPr>
              <w:t>Volatilita podkladového aktiva (σ)</w:t>
            </w:r>
          </w:p>
        </w:tc>
        <w:tc>
          <w:tcPr>
            <w:tcW w:w="2126" w:type="dxa"/>
            <w:shd w:val="clear" w:color="auto" w:fill="D9D9D9" w:themeFill="background1" w:themeFillShade="D9"/>
            <w:vAlign w:val="center"/>
          </w:tcPr>
          <w:p w:rsidR="00D6513E" w:rsidRPr="00F31468" w:rsidRDefault="00D6513E" w:rsidP="00B32690">
            <w:pPr>
              <w:keepNext/>
              <w:spacing w:line="276" w:lineRule="auto"/>
              <w:cnfStyle w:val="000000100000"/>
              <w:rPr>
                <w:color w:val="auto"/>
                <w:sz w:val="24"/>
              </w:rPr>
            </w:pPr>
            <w:r w:rsidRPr="00F31468">
              <w:rPr>
                <w:color w:val="auto"/>
                <w:sz w:val="24"/>
              </w:rPr>
              <w:t>15 %</w:t>
            </w:r>
          </w:p>
        </w:tc>
      </w:tr>
    </w:tbl>
    <w:p w:rsidR="00B32690" w:rsidRDefault="00B32690" w:rsidP="00B32690">
      <w:pPr>
        <w:spacing w:before="240" w:after="240" w:line="276" w:lineRule="auto"/>
        <w:jc w:val="both"/>
        <w:rPr>
          <w:i/>
          <w:sz w:val="20"/>
        </w:rPr>
      </w:pPr>
      <w:r>
        <w:rPr>
          <w:i/>
          <w:sz w:val="20"/>
        </w:rPr>
        <w:t>Pramen: Vlastní zpracování</w:t>
      </w:r>
    </w:p>
    <w:p w:rsidR="00306791" w:rsidRDefault="00306791" w:rsidP="00D6513E">
      <w:pPr>
        <w:spacing w:after="240" w:line="276" w:lineRule="auto"/>
        <w:jc w:val="both"/>
      </w:pPr>
    </w:p>
    <w:p w:rsidR="00D6513E" w:rsidRDefault="00D6513E" w:rsidP="00D6513E">
      <w:pPr>
        <w:spacing w:after="240" w:line="276" w:lineRule="auto"/>
        <w:jc w:val="both"/>
      </w:pPr>
      <w:r>
        <w:t xml:space="preserve">Pro demonstrování zajištění </w:t>
      </w:r>
      <w:r w:rsidR="00306791">
        <w:t xml:space="preserve">budou jednotlivé kroky podrobně popsány nejprve pro </w:t>
      </w:r>
      <w:r>
        <w:t xml:space="preserve">opci s nejkratší dobou splatnosti. Výsledky ostatních opcí </w:t>
      </w:r>
      <w:r w:rsidR="00306791">
        <w:t>budou následně prezentovány</w:t>
      </w:r>
      <w:r>
        <w:t xml:space="preserve"> v přehledné tabulce.</w:t>
      </w:r>
    </w:p>
    <w:p w:rsidR="00D6513E" w:rsidRDefault="00B32690" w:rsidP="00D6513E">
      <w:pPr>
        <w:spacing w:after="240" w:line="276" w:lineRule="auto"/>
        <w:jc w:val="both"/>
      </w:pPr>
      <w:r>
        <w:t>Dne 7. 2. </w:t>
      </w:r>
      <w:r w:rsidR="00D6513E">
        <w:t>2013 společnost sjedná lon</w:t>
      </w:r>
      <w:r>
        <w:t>g put opci s dobou trvání do 7. 8. </w:t>
      </w:r>
      <w:r w:rsidR="00D6513E">
        <w:t xml:space="preserve">2013. Proměnná </w:t>
      </w:r>
      <w:r w:rsidR="00D6513E">
        <w:rPr>
          <w:i/>
        </w:rPr>
        <w:t>t</w:t>
      </w:r>
      <w:r w:rsidR="00306791">
        <w:t xml:space="preserve"> je</w:t>
      </w:r>
      <w:r w:rsidR="006326EB">
        <w:t> </w:t>
      </w:r>
      <w:r w:rsidR="00306791">
        <w:t>tedy rovna hodnotě 0,5.</w:t>
      </w:r>
    </w:p>
    <w:p w:rsidR="00D6513E" w:rsidRPr="00F31468" w:rsidRDefault="00FA567C" w:rsidP="00B32690">
      <w:pPr>
        <w:spacing w:after="240" w:line="276" w:lineRule="auto"/>
      </w:pPr>
      <m:oMathPara>
        <m:oMath>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1,3398</m:t>
                          </m:r>
                        </m:num>
                        <m:den>
                          <m:r>
                            <w:rPr>
                              <w:rFonts w:ascii="Cambria Math" w:hAnsi="Cambria Math"/>
                            </w:rPr>
                            <m:t>1,3398</m:t>
                          </m:r>
                        </m:den>
                      </m:f>
                    </m:e>
                  </m:d>
                  <m:ctrlPr>
                    <w:rPr>
                      <w:rFonts w:ascii="Cambria Math" w:hAnsi="Cambria Math"/>
                      <w:i/>
                    </w:rPr>
                  </m:ctrlPr>
                </m:e>
              </m:func>
              <m:r>
                <w:rPr>
                  <w:rFonts w:ascii="Cambria Math" w:hAnsi="Cambria Math"/>
                </w:rPr>
                <m:t>+</m:t>
              </m:r>
              <m:d>
                <m:dPr>
                  <m:ctrlPr>
                    <w:rPr>
                      <w:rFonts w:ascii="Cambria Math" w:hAnsi="Cambria Math"/>
                      <w:i/>
                    </w:rPr>
                  </m:ctrlPr>
                </m:dPr>
                <m:e>
                  <m:r>
                    <w:rPr>
                      <w:rFonts w:ascii="Cambria Math" w:hAnsi="Cambria Math"/>
                    </w:rPr>
                    <m:t>0,0015-0,0009+</m:t>
                  </m:r>
                  <m:f>
                    <m:fPr>
                      <m:ctrlPr>
                        <w:rPr>
                          <w:rFonts w:ascii="Cambria Math" w:hAnsi="Cambria Math"/>
                          <w:i/>
                        </w:rPr>
                      </m:ctrlPr>
                    </m:fPr>
                    <m:num>
                      <m:sSup>
                        <m:sSupPr>
                          <m:ctrlPr>
                            <w:rPr>
                              <w:rFonts w:ascii="Cambria Math" w:hAnsi="Cambria Math"/>
                              <w:i/>
                            </w:rPr>
                          </m:ctrlPr>
                        </m:sSupPr>
                        <m:e>
                          <m:r>
                            <w:rPr>
                              <w:rFonts w:ascii="Cambria Math" w:hAnsi="Cambria Math"/>
                            </w:rPr>
                            <m:t>0,15</m:t>
                          </m:r>
                        </m:e>
                        <m:sup>
                          <m:r>
                            <w:rPr>
                              <w:rFonts w:ascii="Cambria Math" w:hAnsi="Cambria Math"/>
                            </w:rPr>
                            <m:t>2</m:t>
                          </m:r>
                        </m:sup>
                      </m:sSup>
                    </m:num>
                    <m:den>
                      <m:r>
                        <w:rPr>
                          <w:rFonts w:ascii="Cambria Math" w:hAnsi="Cambria Math"/>
                        </w:rPr>
                        <m:t>2</m:t>
                      </m:r>
                    </m:den>
                  </m:f>
                </m:e>
              </m:d>
              <m:r>
                <w:rPr>
                  <w:rFonts w:ascii="Cambria Math" w:hAnsi="Cambria Math"/>
                </w:rPr>
                <m:t>*0,5</m:t>
              </m:r>
            </m:num>
            <m:den>
              <m:r>
                <w:rPr>
                  <w:rFonts w:ascii="Cambria Math" w:hAnsi="Cambria Math"/>
                </w:rPr>
                <m:t>0,15*</m:t>
              </m:r>
              <m:rad>
                <m:radPr>
                  <m:degHide m:val="on"/>
                  <m:ctrlPr>
                    <w:rPr>
                      <w:rFonts w:ascii="Cambria Math" w:hAnsi="Cambria Math"/>
                      <w:i/>
                    </w:rPr>
                  </m:ctrlPr>
                </m:radPr>
                <m:deg/>
                <m:e>
                  <m:r>
                    <w:rPr>
                      <w:rFonts w:ascii="Cambria Math" w:hAnsi="Cambria Math"/>
                    </w:rPr>
                    <m:t>0,5</m:t>
                  </m:r>
                </m:e>
              </m:rad>
            </m:den>
          </m:f>
        </m:oMath>
      </m:oMathPara>
    </w:p>
    <w:p w:rsidR="00D6513E" w:rsidRDefault="00FA567C" w:rsidP="00B32690">
      <w:pPr>
        <w:spacing w:after="240" w:line="276" w:lineRule="auto"/>
        <w:rPr>
          <w:rFonts w:eastAsiaTheme="minorEastAsia"/>
        </w:rPr>
      </w:pPr>
      <m:oMathPara>
        <m:oMath>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=0,0474</m:t>
          </m:r>
        </m:oMath>
      </m:oMathPara>
    </w:p>
    <w:p w:rsidR="00D6513E" w:rsidRDefault="00D6513E" w:rsidP="00B32690">
      <w:pPr>
        <w:spacing w:after="240" w:line="276" w:lineRule="auto"/>
      </w:pPr>
    </w:p>
    <w:p w:rsidR="00D6513E" w:rsidRDefault="00FA567C" w:rsidP="00B32690">
      <w:pPr>
        <w:spacing w:after="240" w:line="276" w:lineRule="auto"/>
        <w:rPr>
          <w:rFonts w:eastAsiaTheme="minorEastAsia"/>
        </w:rPr>
      </w:pPr>
      <m:oMathPara>
        <m:oMath>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=0,0474-0,15*</m:t>
          </m:r>
          <m:rad>
            <m:radPr>
              <m:degHide m:val="on"/>
              <m:ctrlPr>
                <w:rPr>
                  <w:rFonts w:ascii="Cambria Math" w:hAnsi="Cambria Math"/>
                  <w:i/>
                </w:rPr>
              </m:ctrlPr>
            </m:radPr>
            <m:deg/>
            <m:e>
              <m:r>
                <w:rPr>
                  <w:rFonts w:ascii="Cambria Math" w:hAnsi="Cambria Math"/>
                </w:rPr>
                <m:t>0,5</m:t>
              </m:r>
            </m:e>
          </m:rad>
          <m:r>
            <w:rPr>
              <w:rFonts w:ascii="Cambria Math" w:hAnsi="Cambria Math"/>
            </w:rPr>
            <m:t>=-0,0587</m:t>
          </m:r>
        </m:oMath>
      </m:oMathPara>
    </w:p>
    <w:p w:rsidR="00D6513E" w:rsidRDefault="00D6513E" w:rsidP="00B32690">
      <w:pPr>
        <w:spacing w:after="240" w:line="276" w:lineRule="auto"/>
        <w:rPr>
          <w:rFonts w:eastAsiaTheme="minorEastAsia"/>
        </w:rPr>
      </w:pPr>
    </w:p>
    <w:p w:rsidR="00D6513E" w:rsidRPr="008A6B6E" w:rsidRDefault="00D6513E" w:rsidP="00B32690">
      <w:pPr>
        <w:spacing w:after="240" w:line="276" w:lineRule="auto"/>
        <w:rPr>
          <w:rFonts w:eastAsiaTheme="minorEastAsia"/>
        </w:rPr>
      </w:pPr>
      <m:oMathPara>
        <m:oMathParaPr>
          <m:jc m:val="center"/>
        </m:oMathParaPr>
        <m:oMath>
          <m:r>
            <w:rPr>
              <w:rFonts w:ascii="Cambria Math" w:hAnsi="Cambria Math"/>
            </w:rPr>
            <m:t>P=-</m:t>
          </m:r>
          <m:f>
            <m:fPr>
              <m:ctrlPr>
                <w:rPr>
                  <w:rFonts w:ascii="Cambria Math" w:hAnsi="Cambria Math"/>
                  <w:i/>
                </w:rPr>
              </m:ctrlPr>
            </m:fPr>
            <m:num>
              <m:r>
                <w:rPr>
                  <w:rFonts w:ascii="Cambria Math" w:hAnsi="Cambria Math"/>
                </w:rPr>
                <m:t>1,3398</m:t>
              </m:r>
            </m:num>
            <m:den>
              <m:sSup>
                <m:sSupPr>
                  <m:ctrlPr>
                    <w:rPr>
                      <w:rFonts w:ascii="Cambria Math" w:hAnsi="Cambria Math"/>
                      <w:i/>
                    </w:rPr>
                  </m:ctrlPr>
                </m:sSupPr>
                <m:e>
                  <m:r>
                    <w:rPr>
                      <w:rFonts w:ascii="Cambria Math" w:hAnsi="Cambria Math"/>
                    </w:rPr>
                    <m:t>e</m:t>
                  </m:r>
                </m:e>
                <m:sup>
                  <m:r>
                    <w:rPr>
                      <w:rFonts w:ascii="Cambria Math" w:hAnsi="Cambria Math"/>
                    </w:rPr>
                    <m:t>0,0009*0,5</m:t>
                  </m:r>
                </m:sup>
              </m:sSup>
            </m:den>
          </m:f>
          <m:r>
            <w:rPr>
              <w:rFonts w:ascii="Cambria Math" w:hAnsi="Cambria Math"/>
            </w:rPr>
            <m:t>*N</m:t>
          </m:r>
          <m:d>
            <m:dPr>
              <m:ctrlPr>
                <w:rPr>
                  <w:rFonts w:ascii="Cambria Math" w:hAnsi="Cambria Math"/>
                  <w:i/>
                </w:rPr>
              </m:ctrlPr>
            </m:dPr>
            <m:e>
              <m:r>
                <w:rPr>
                  <w:rFonts w:ascii="Cambria Math" w:hAnsi="Cambria Math"/>
                </w:rPr>
                <m:t>-0,0474</m:t>
              </m:r>
            </m:e>
          </m:d>
          <m:r>
            <w:rPr>
              <w:rFonts w:ascii="Cambria Math" w:hAnsi="Cambria Math"/>
            </w:rPr>
            <m:t>+</m:t>
          </m:r>
          <m:f>
            <m:fPr>
              <m:ctrlPr>
                <w:rPr>
                  <w:rFonts w:ascii="Cambria Math" w:hAnsi="Cambria Math"/>
                  <w:i/>
                </w:rPr>
              </m:ctrlPr>
            </m:fPr>
            <m:num>
              <m:r>
                <w:rPr>
                  <w:rFonts w:ascii="Cambria Math" w:hAnsi="Cambria Math"/>
                </w:rPr>
                <m:t>1,3398</m:t>
              </m:r>
            </m:num>
            <m:den>
              <m:sSup>
                <m:sSupPr>
                  <m:ctrlPr>
                    <w:rPr>
                      <w:rFonts w:ascii="Cambria Math" w:hAnsi="Cambria Math"/>
                      <w:i/>
                    </w:rPr>
                  </m:ctrlPr>
                </m:sSupPr>
                <m:e>
                  <m:r>
                    <w:rPr>
                      <w:rFonts w:ascii="Cambria Math" w:hAnsi="Cambria Math"/>
                    </w:rPr>
                    <m:t>e</m:t>
                  </m:r>
                </m:e>
                <m:sup>
                  <m:r>
                    <w:rPr>
                      <w:rFonts w:ascii="Cambria Math" w:hAnsi="Cambria Math"/>
                    </w:rPr>
                    <m:t>0,0015*0,5</m:t>
                  </m:r>
                </m:sup>
              </m:sSup>
            </m:den>
          </m:f>
          <m:r>
            <w:rPr>
              <w:rFonts w:ascii="Cambria Math" w:hAnsi="Cambria Math"/>
            </w:rPr>
            <m:t>*N(-0,0587)</m:t>
          </m:r>
        </m:oMath>
      </m:oMathPara>
    </w:p>
    <w:p w:rsidR="00D6513E" w:rsidRPr="008A6B6E" w:rsidRDefault="00D6513E" w:rsidP="00B32690">
      <w:pPr>
        <w:spacing w:after="240" w:line="276" w:lineRule="auto"/>
        <w:rPr>
          <w:rFonts w:eastAsiaTheme="minorEastAsia"/>
        </w:rPr>
      </w:pPr>
      <m:oMathPara>
        <m:oMath>
          <m:r>
            <w:rPr>
              <w:rFonts w:ascii="Cambria Math" w:hAnsi="Cambria Math"/>
            </w:rPr>
            <m:t>P=0,0564</m:t>
          </m:r>
        </m:oMath>
      </m:oMathPara>
    </w:p>
    <w:p w:rsidR="00D6513E" w:rsidRDefault="00D6513E" w:rsidP="00D6513E">
      <w:pPr>
        <w:spacing w:after="240" w:line="276" w:lineRule="auto"/>
        <w:jc w:val="both"/>
        <w:rPr>
          <w:rFonts w:eastAsiaTheme="minorEastAsia"/>
        </w:rPr>
      </w:pPr>
      <w:r>
        <w:rPr>
          <w:rFonts w:eastAsiaTheme="minorEastAsia"/>
        </w:rPr>
        <w:t>Cena opce sjednané na půl roku je 0,0564 USD/EUR. Základem pro výpočet opční prémie je</w:t>
      </w:r>
      <w:r w:rsidR="00B32690">
        <w:rPr>
          <w:rFonts w:eastAsiaTheme="minorEastAsia"/>
        </w:rPr>
        <w:t> </w:t>
      </w:r>
      <w:r>
        <w:rPr>
          <w:rFonts w:eastAsiaTheme="minorEastAsia"/>
        </w:rPr>
        <w:t xml:space="preserve">hodnota 100 000 </w:t>
      </w:r>
      <w:r w:rsidR="00447807">
        <w:rPr>
          <w:rFonts w:eastAsiaTheme="minorEastAsia"/>
        </w:rPr>
        <w:t>EUR</w:t>
      </w:r>
      <w:r>
        <w:rPr>
          <w:rFonts w:eastAsiaTheme="minorEastAsia"/>
        </w:rPr>
        <w:t xml:space="preserve">. </w:t>
      </w:r>
      <w:r w:rsidR="00361DA1">
        <w:rPr>
          <w:rFonts w:eastAsiaTheme="minorEastAsia"/>
        </w:rPr>
        <w:t>Delor</w:t>
      </w:r>
      <w:r>
        <w:rPr>
          <w:rFonts w:eastAsiaTheme="minorEastAsia"/>
        </w:rPr>
        <w:t xml:space="preserve"> tedy musí za opční prémii zaplatit 5 642,94 </w:t>
      </w:r>
      <w:r w:rsidR="00447807">
        <w:rPr>
          <w:rFonts w:eastAsiaTheme="minorEastAsia"/>
        </w:rPr>
        <w:t>USD</w:t>
      </w:r>
      <w:r>
        <w:rPr>
          <w:rFonts w:eastAsiaTheme="minorEastAsia"/>
        </w:rPr>
        <w:t>.</w:t>
      </w:r>
    </w:p>
    <w:p w:rsidR="00D6513E" w:rsidRDefault="00D6513E" w:rsidP="00D6513E">
      <w:pPr>
        <w:spacing w:after="240" w:line="276" w:lineRule="auto"/>
        <w:jc w:val="both"/>
        <w:rPr>
          <w:rFonts w:eastAsiaTheme="minorEastAsia"/>
        </w:rPr>
      </w:pPr>
      <w:r>
        <w:rPr>
          <w:rFonts w:eastAsiaTheme="minorEastAsia"/>
        </w:rPr>
        <w:t xml:space="preserve">Pozice společnosti </w:t>
      </w:r>
      <w:r w:rsidR="00361DA1">
        <w:rPr>
          <w:rFonts w:eastAsiaTheme="minorEastAsia"/>
        </w:rPr>
        <w:t>Delor</w:t>
      </w:r>
      <w:r>
        <w:rPr>
          <w:rFonts w:eastAsiaTheme="minorEastAsia"/>
        </w:rPr>
        <w:t xml:space="preserve"> je zobrazena na Obr</w:t>
      </w:r>
      <w:r w:rsidR="001F3E1C">
        <w:rPr>
          <w:rFonts w:eastAsiaTheme="minorEastAsia"/>
        </w:rPr>
        <w:t>.</w:t>
      </w:r>
      <w:r>
        <w:rPr>
          <w:rFonts w:eastAsiaTheme="minorEastAsia"/>
        </w:rPr>
        <w:t xml:space="preserve"> </w:t>
      </w:r>
      <w:r w:rsidR="00DC1E2D">
        <w:rPr>
          <w:rFonts w:eastAsiaTheme="minorEastAsia"/>
        </w:rPr>
        <w:t>16</w:t>
      </w:r>
      <w:r>
        <w:rPr>
          <w:rFonts w:eastAsiaTheme="minorEastAsia"/>
        </w:rPr>
        <w:t>. Její největší ztrátu plynoucí z uzavřeného kontraktu představuje suma odvozená od měnového kurzu 0,0564</w:t>
      </w:r>
      <w:r w:rsidR="00DD70E2">
        <w:rPr>
          <w:rFonts w:eastAsiaTheme="minorEastAsia"/>
        </w:rPr>
        <w:t xml:space="preserve"> USD/EUR</w:t>
      </w:r>
      <w:r>
        <w:rPr>
          <w:rFonts w:eastAsiaTheme="minorEastAsia"/>
        </w:rPr>
        <w:t xml:space="preserve">, což činí 5 642,94 </w:t>
      </w:r>
      <w:r w:rsidR="00447807">
        <w:rPr>
          <w:rFonts w:eastAsiaTheme="minorEastAsia"/>
        </w:rPr>
        <w:t>USD</w:t>
      </w:r>
      <w:r>
        <w:rPr>
          <w:rFonts w:eastAsiaTheme="minorEastAsia"/>
        </w:rPr>
        <w:t>. Společnost začne na opci částečně profitovat ve chvíli, kdy měnový kurz klesne pod úroveň realizační ceny 1,3398 USD/EUR. Reálný zisk pak společnost generuje při</w:t>
      </w:r>
      <w:r w:rsidR="001A318C">
        <w:rPr>
          <w:rFonts w:eastAsiaTheme="minorEastAsia"/>
        </w:rPr>
        <w:t> </w:t>
      </w:r>
      <w:r>
        <w:rPr>
          <w:rFonts w:eastAsiaTheme="minorEastAsia"/>
        </w:rPr>
        <w:t>poklesu kurzu pod úroveň 1,2834 USD/EUR.</w:t>
      </w:r>
    </w:p>
    <w:p w:rsidR="00B32690" w:rsidRPr="00B32690" w:rsidRDefault="00B32690" w:rsidP="00B32690">
      <w:pPr>
        <w:pStyle w:val="Titulek"/>
        <w:keepNext/>
        <w:spacing w:line="276" w:lineRule="auto"/>
        <w:jc w:val="both"/>
        <w:rPr>
          <w:rFonts w:ascii="Times New Roman" w:hAnsi="Times New Roman" w:cs="Times New Roman"/>
          <w:b w:val="0"/>
          <w:color w:val="auto"/>
          <w:sz w:val="24"/>
        </w:rPr>
      </w:pPr>
      <w:bookmarkStart w:id="97" w:name="_Toc354393022"/>
      <w:r w:rsidRPr="00B32690">
        <w:rPr>
          <w:rFonts w:ascii="Times New Roman" w:hAnsi="Times New Roman" w:cs="Times New Roman"/>
          <w:b w:val="0"/>
          <w:color w:val="auto"/>
          <w:sz w:val="24"/>
        </w:rPr>
        <w:lastRenderedPageBreak/>
        <w:t xml:space="preserve">Obr. </w:t>
      </w:r>
      <w:r w:rsidR="00FA567C" w:rsidRPr="00B32690">
        <w:rPr>
          <w:rFonts w:ascii="Times New Roman" w:hAnsi="Times New Roman" w:cs="Times New Roman"/>
          <w:b w:val="0"/>
          <w:color w:val="auto"/>
          <w:sz w:val="24"/>
        </w:rPr>
        <w:fldChar w:fldCharType="begin"/>
      </w:r>
      <w:r w:rsidRPr="00B32690">
        <w:rPr>
          <w:rFonts w:ascii="Times New Roman" w:hAnsi="Times New Roman" w:cs="Times New Roman"/>
          <w:b w:val="0"/>
          <w:color w:val="auto"/>
          <w:sz w:val="24"/>
        </w:rPr>
        <w:instrText xml:space="preserve"> SEQ Obr. \* ARABIC </w:instrText>
      </w:r>
      <w:r w:rsidR="00FA567C" w:rsidRPr="00B32690">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16</w:t>
      </w:r>
      <w:r w:rsidR="00FA567C" w:rsidRPr="00B32690">
        <w:rPr>
          <w:rFonts w:ascii="Times New Roman" w:hAnsi="Times New Roman" w:cs="Times New Roman"/>
          <w:b w:val="0"/>
          <w:color w:val="auto"/>
          <w:sz w:val="24"/>
        </w:rPr>
        <w:fldChar w:fldCharType="end"/>
      </w:r>
      <w:r w:rsidRPr="00B32690">
        <w:rPr>
          <w:rFonts w:ascii="Times New Roman" w:hAnsi="Times New Roman" w:cs="Times New Roman"/>
          <w:b w:val="0"/>
          <w:color w:val="auto"/>
          <w:sz w:val="24"/>
        </w:rPr>
        <w:t>: Pozice společnosti v long put opci se splatností t = 0,5</w:t>
      </w:r>
      <w:bookmarkEnd w:id="97"/>
    </w:p>
    <w:p w:rsidR="00D6513E" w:rsidRDefault="00D6513E" w:rsidP="00D6513E">
      <w:pPr>
        <w:keepNext/>
        <w:spacing w:after="240" w:line="276" w:lineRule="auto"/>
        <w:jc w:val="center"/>
      </w:pPr>
      <w:r>
        <w:rPr>
          <w:noProof/>
          <w:lang w:eastAsia="cs-CZ"/>
        </w:rPr>
        <w:drawing>
          <wp:inline distT="0" distB="0" distL="0" distR="0">
            <wp:extent cx="5057775" cy="2266695"/>
            <wp:effectExtent l="19050" t="0" r="9525" b="0"/>
            <wp:docPr id="2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t="2703" r="1157" b="6757"/>
                    <a:stretch>
                      <a:fillRect/>
                    </a:stretch>
                  </pic:blipFill>
                  <pic:spPr bwMode="auto">
                    <a:xfrm>
                      <a:off x="0" y="0"/>
                      <a:ext cx="5069220" cy="2271824"/>
                    </a:xfrm>
                    <a:prstGeom prst="rect">
                      <a:avLst/>
                    </a:prstGeom>
                    <a:noFill/>
                    <a:ln w="9525">
                      <a:noFill/>
                      <a:miter lim="800000"/>
                      <a:headEnd/>
                      <a:tailEnd/>
                    </a:ln>
                  </pic:spPr>
                </pic:pic>
              </a:graphicData>
            </a:graphic>
          </wp:inline>
        </w:drawing>
      </w:r>
    </w:p>
    <w:p w:rsidR="001A318C" w:rsidRDefault="001A318C" w:rsidP="001A318C">
      <w:pPr>
        <w:keepNext/>
        <w:spacing w:after="240" w:line="276" w:lineRule="auto"/>
        <w:jc w:val="both"/>
        <w:rPr>
          <w:i/>
          <w:sz w:val="20"/>
        </w:rPr>
      </w:pPr>
      <w:r>
        <w:rPr>
          <w:i/>
          <w:sz w:val="20"/>
        </w:rPr>
        <w:t>Pramen: Vlastní zpracování</w:t>
      </w:r>
    </w:p>
    <w:p w:rsidR="001A318C" w:rsidRPr="001A318C" w:rsidRDefault="001A318C" w:rsidP="00072F4F">
      <w:pPr>
        <w:keepNext/>
        <w:spacing w:after="240" w:line="276" w:lineRule="auto"/>
        <w:jc w:val="center"/>
      </w:pPr>
    </w:p>
    <w:p w:rsidR="00D6513E" w:rsidRDefault="00D6513E" w:rsidP="00D6513E">
      <w:pPr>
        <w:spacing w:after="240" w:line="276" w:lineRule="auto"/>
        <w:jc w:val="both"/>
        <w:rPr>
          <w:rFonts w:eastAsiaTheme="minorEastAsia"/>
        </w:rPr>
      </w:pPr>
      <w:r>
        <w:rPr>
          <w:rFonts w:eastAsiaTheme="minorEastAsia"/>
        </w:rPr>
        <w:t>Předpovídaná hodnota měnového kurzu ke dni 7.</w:t>
      </w:r>
      <w:r w:rsidR="001A318C">
        <w:rPr>
          <w:rFonts w:eastAsiaTheme="minorEastAsia"/>
        </w:rPr>
        <w:t> 8. </w:t>
      </w:r>
      <w:r>
        <w:rPr>
          <w:rFonts w:eastAsiaTheme="minorEastAsia"/>
        </w:rPr>
        <w:t xml:space="preserve">2013 je 1,1069 USD/EUR. Na spotovém trhu by tedy společnost za prodej 100 000 </w:t>
      </w:r>
      <w:r w:rsidR="00447807">
        <w:rPr>
          <w:rFonts w:eastAsiaTheme="minorEastAsia"/>
        </w:rPr>
        <w:t>EUR</w:t>
      </w:r>
      <w:r>
        <w:rPr>
          <w:rFonts w:eastAsiaTheme="minorEastAsia"/>
        </w:rPr>
        <w:t xml:space="preserve"> získala 110 692,94 </w:t>
      </w:r>
      <w:r w:rsidR="00447807">
        <w:rPr>
          <w:rFonts w:eastAsiaTheme="minorEastAsia"/>
        </w:rPr>
        <w:t>USD</w:t>
      </w:r>
      <w:r>
        <w:rPr>
          <w:rFonts w:eastAsiaTheme="minorEastAsia"/>
        </w:rPr>
        <w:t>. Díky sjednání put opce s realizační cenou 1,3398 USD/EUR však společnost za stejnou sumu v eurech při</w:t>
      </w:r>
      <w:r w:rsidR="00DD70E2">
        <w:rPr>
          <w:rFonts w:eastAsiaTheme="minorEastAsia"/>
        </w:rPr>
        <w:t> </w:t>
      </w:r>
      <w:r>
        <w:rPr>
          <w:rFonts w:eastAsiaTheme="minorEastAsia"/>
        </w:rPr>
        <w:t>uplatnění opce získá 133 980,00 </w:t>
      </w:r>
      <w:r w:rsidR="00447807">
        <w:rPr>
          <w:rFonts w:eastAsiaTheme="minorEastAsia"/>
        </w:rPr>
        <w:t>USD</w:t>
      </w:r>
      <w:r>
        <w:rPr>
          <w:rFonts w:eastAsiaTheme="minorEastAsia"/>
        </w:rPr>
        <w:t xml:space="preserve">. S ohledem na tento vývoj měnového kurzu společnost opci samozřejmě uplatní. </w:t>
      </w:r>
      <w:r w:rsidR="00306791">
        <w:rPr>
          <w:rFonts w:eastAsiaTheme="minorEastAsia"/>
        </w:rPr>
        <w:t>Pro vypočtení hodnoty</w:t>
      </w:r>
      <w:r>
        <w:rPr>
          <w:rFonts w:eastAsiaTheme="minorEastAsia"/>
        </w:rPr>
        <w:t xml:space="preserve"> v dolarech, kterou společnost operacemi s opcí </w:t>
      </w:r>
      <w:r w:rsidR="00306791">
        <w:rPr>
          <w:rFonts w:eastAsiaTheme="minorEastAsia"/>
        </w:rPr>
        <w:t>reálně získá</w:t>
      </w:r>
      <w:r>
        <w:rPr>
          <w:rFonts w:eastAsiaTheme="minorEastAsia"/>
        </w:rPr>
        <w:t xml:space="preserve">, </w:t>
      </w:r>
      <w:r w:rsidR="00306791">
        <w:rPr>
          <w:rFonts w:eastAsiaTheme="minorEastAsia"/>
        </w:rPr>
        <w:t>je třeba</w:t>
      </w:r>
      <w:r>
        <w:rPr>
          <w:rFonts w:eastAsiaTheme="minorEastAsia"/>
        </w:rPr>
        <w:t xml:space="preserve"> od inkasovaných dolarů odečíst hodnotu opční prémie. Po této operaci </w:t>
      </w:r>
      <w:r w:rsidR="00306791">
        <w:rPr>
          <w:rFonts w:eastAsiaTheme="minorEastAsia"/>
        </w:rPr>
        <w:t>je výsledná suma rovna</w:t>
      </w:r>
      <w:r>
        <w:rPr>
          <w:rFonts w:eastAsiaTheme="minorEastAsia"/>
        </w:rPr>
        <w:t xml:space="preserve"> </w:t>
      </w:r>
      <w:r w:rsidRPr="00BD42A8">
        <w:rPr>
          <w:color w:val="000000"/>
        </w:rPr>
        <w:t>128</w:t>
      </w:r>
      <w:r>
        <w:rPr>
          <w:color w:val="000000"/>
        </w:rPr>
        <w:t> </w:t>
      </w:r>
      <w:r w:rsidRPr="00BD42A8">
        <w:rPr>
          <w:color w:val="000000"/>
        </w:rPr>
        <w:t>333,48</w:t>
      </w:r>
      <w:r>
        <w:rPr>
          <w:rFonts w:eastAsiaTheme="minorEastAsia"/>
        </w:rPr>
        <w:t> </w:t>
      </w:r>
      <w:r w:rsidR="00447807">
        <w:rPr>
          <w:rFonts w:eastAsiaTheme="minorEastAsia"/>
        </w:rPr>
        <w:t>USD</w:t>
      </w:r>
      <w:r>
        <w:rPr>
          <w:rFonts w:eastAsiaTheme="minorEastAsia"/>
        </w:rPr>
        <w:t xml:space="preserve">. I přesto při srovnání se spotovým měnovým kurzem společnost </w:t>
      </w:r>
      <w:r w:rsidR="00361DA1">
        <w:rPr>
          <w:rFonts w:eastAsiaTheme="minorEastAsia"/>
        </w:rPr>
        <w:t>Delor</w:t>
      </w:r>
      <w:r>
        <w:rPr>
          <w:rFonts w:eastAsiaTheme="minorEastAsia"/>
        </w:rPr>
        <w:t xml:space="preserve"> díky sjednání put opce vydělala.</w:t>
      </w:r>
    </w:p>
    <w:p w:rsidR="00D6513E" w:rsidRDefault="00D6513E" w:rsidP="00D6513E">
      <w:pPr>
        <w:spacing w:after="240" w:line="276" w:lineRule="auto"/>
        <w:jc w:val="both"/>
        <w:rPr>
          <w:rFonts w:eastAsiaTheme="minorEastAsia"/>
        </w:rPr>
      </w:pPr>
      <w:r>
        <w:rPr>
          <w:rFonts w:eastAsiaTheme="minorEastAsia"/>
        </w:rPr>
        <w:t>V následujících tabulkách jsou zobrazeny výsledky pro jednotlivé sjednané put opce.</w:t>
      </w:r>
    </w:p>
    <w:p w:rsidR="00DD70E2" w:rsidRDefault="00DD70E2">
      <w:pPr>
        <w:suppressAutoHyphens w:val="0"/>
        <w:spacing w:after="200" w:line="276" w:lineRule="auto"/>
        <w:rPr>
          <w:rFonts w:eastAsiaTheme="minorHAnsi"/>
          <w:bCs/>
          <w:szCs w:val="18"/>
          <w:lang w:eastAsia="en-US"/>
        </w:rPr>
      </w:pPr>
    </w:p>
    <w:p w:rsidR="001F3E1C" w:rsidRDefault="001F3E1C">
      <w:pPr>
        <w:suppressAutoHyphens w:val="0"/>
        <w:spacing w:after="200" w:line="276" w:lineRule="auto"/>
        <w:rPr>
          <w:rFonts w:eastAsiaTheme="minorHAnsi"/>
          <w:bCs/>
          <w:szCs w:val="18"/>
          <w:lang w:eastAsia="en-US"/>
        </w:rPr>
      </w:pPr>
      <w:r>
        <w:rPr>
          <w:b/>
        </w:rPr>
        <w:br w:type="page"/>
      </w:r>
    </w:p>
    <w:p w:rsidR="001A318C" w:rsidRPr="001A318C" w:rsidRDefault="001A318C" w:rsidP="001A318C">
      <w:pPr>
        <w:pStyle w:val="Titulek"/>
        <w:keepNext/>
        <w:spacing w:line="276" w:lineRule="auto"/>
        <w:jc w:val="both"/>
        <w:rPr>
          <w:rFonts w:ascii="Times New Roman" w:hAnsi="Times New Roman" w:cs="Times New Roman"/>
          <w:b w:val="0"/>
          <w:color w:val="auto"/>
          <w:sz w:val="24"/>
        </w:rPr>
      </w:pPr>
      <w:bookmarkStart w:id="98" w:name="_Toc354393036"/>
      <w:r w:rsidRPr="001A318C">
        <w:rPr>
          <w:rFonts w:ascii="Times New Roman" w:hAnsi="Times New Roman" w:cs="Times New Roman"/>
          <w:b w:val="0"/>
          <w:color w:val="auto"/>
          <w:sz w:val="24"/>
        </w:rPr>
        <w:lastRenderedPageBreak/>
        <w:t xml:space="preserve">Tabulka </w:t>
      </w:r>
      <w:r w:rsidR="00FA567C" w:rsidRPr="001A318C">
        <w:rPr>
          <w:rFonts w:ascii="Times New Roman" w:hAnsi="Times New Roman" w:cs="Times New Roman"/>
          <w:b w:val="0"/>
          <w:color w:val="auto"/>
          <w:sz w:val="24"/>
        </w:rPr>
        <w:fldChar w:fldCharType="begin"/>
      </w:r>
      <w:r w:rsidRPr="001A318C">
        <w:rPr>
          <w:rFonts w:ascii="Times New Roman" w:hAnsi="Times New Roman" w:cs="Times New Roman"/>
          <w:b w:val="0"/>
          <w:color w:val="auto"/>
          <w:sz w:val="24"/>
        </w:rPr>
        <w:instrText xml:space="preserve"> SEQ Tabulka \* ARABIC </w:instrText>
      </w:r>
      <w:r w:rsidR="00FA567C" w:rsidRPr="001A318C">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13</w:t>
      </w:r>
      <w:r w:rsidR="00FA567C" w:rsidRPr="001A318C">
        <w:rPr>
          <w:rFonts w:ascii="Times New Roman" w:hAnsi="Times New Roman" w:cs="Times New Roman"/>
          <w:b w:val="0"/>
          <w:color w:val="auto"/>
          <w:sz w:val="24"/>
        </w:rPr>
        <w:fldChar w:fldCharType="end"/>
      </w:r>
      <w:r w:rsidRPr="001A318C">
        <w:rPr>
          <w:rFonts w:ascii="Times New Roman" w:hAnsi="Times New Roman" w:cs="Times New Roman"/>
          <w:b w:val="0"/>
          <w:color w:val="auto"/>
          <w:sz w:val="24"/>
        </w:rPr>
        <w:t>: Výše opční prémie long put opcí</w:t>
      </w:r>
      <w:bookmarkEnd w:id="98"/>
    </w:p>
    <w:tbl>
      <w:tblPr>
        <w:tblStyle w:val="Svtlstnovn1"/>
        <w:tblW w:w="5909" w:type="dxa"/>
        <w:jc w:val="center"/>
        <w:tblLook w:val="04A0"/>
      </w:tblPr>
      <w:tblGrid>
        <w:gridCol w:w="1242"/>
        <w:gridCol w:w="1591"/>
        <w:gridCol w:w="1430"/>
        <w:gridCol w:w="1646"/>
      </w:tblGrid>
      <w:tr w:rsidR="00D6513E" w:rsidRPr="00AD274D" w:rsidTr="001A318C">
        <w:trPr>
          <w:cnfStyle w:val="100000000000"/>
          <w:trHeight w:val="300"/>
          <w:jc w:val="center"/>
        </w:trPr>
        <w:tc>
          <w:tcPr>
            <w:cnfStyle w:val="001000000000"/>
            <w:tcW w:w="1242" w:type="dxa"/>
            <w:noWrap/>
            <w:vAlign w:val="center"/>
            <w:hideMark/>
          </w:tcPr>
          <w:p w:rsidR="00D6513E" w:rsidRPr="00AD274D" w:rsidRDefault="00D6513E" w:rsidP="001A318C">
            <w:pPr>
              <w:spacing w:line="276" w:lineRule="auto"/>
              <w:jc w:val="center"/>
              <w:rPr>
                <w:color w:val="000000"/>
                <w:sz w:val="24"/>
                <w:szCs w:val="24"/>
                <w:lang w:eastAsia="cs-CZ"/>
              </w:rPr>
            </w:pPr>
            <w:r w:rsidRPr="00AD274D">
              <w:rPr>
                <w:color w:val="000000"/>
                <w:sz w:val="24"/>
                <w:szCs w:val="24"/>
                <w:lang w:eastAsia="cs-CZ"/>
              </w:rPr>
              <w:t>Datum</w:t>
            </w:r>
          </w:p>
        </w:tc>
        <w:tc>
          <w:tcPr>
            <w:tcW w:w="1591" w:type="dxa"/>
            <w:noWrap/>
            <w:vAlign w:val="center"/>
            <w:hideMark/>
          </w:tcPr>
          <w:p w:rsidR="00D6513E" w:rsidRPr="00AD274D" w:rsidRDefault="00D6513E" w:rsidP="001A318C">
            <w:pPr>
              <w:spacing w:line="276" w:lineRule="auto"/>
              <w:jc w:val="center"/>
              <w:cnfStyle w:val="100000000000"/>
              <w:rPr>
                <w:color w:val="000000"/>
                <w:sz w:val="24"/>
                <w:szCs w:val="24"/>
                <w:lang w:eastAsia="cs-CZ"/>
              </w:rPr>
            </w:pPr>
            <w:r w:rsidRPr="00AD274D">
              <w:rPr>
                <w:color w:val="000000"/>
                <w:sz w:val="24"/>
                <w:szCs w:val="24"/>
                <w:lang w:eastAsia="cs-CZ"/>
              </w:rPr>
              <w:t>Spotový kurz</w:t>
            </w:r>
          </w:p>
        </w:tc>
        <w:tc>
          <w:tcPr>
            <w:tcW w:w="1430" w:type="dxa"/>
            <w:noWrap/>
            <w:vAlign w:val="center"/>
            <w:hideMark/>
          </w:tcPr>
          <w:p w:rsidR="00D6513E" w:rsidRPr="00AD274D" w:rsidRDefault="001A318C" w:rsidP="001A318C">
            <w:pPr>
              <w:spacing w:line="276" w:lineRule="auto"/>
              <w:jc w:val="center"/>
              <w:cnfStyle w:val="100000000000"/>
              <w:rPr>
                <w:color w:val="000000"/>
                <w:sz w:val="24"/>
                <w:szCs w:val="24"/>
                <w:lang w:eastAsia="cs-CZ"/>
              </w:rPr>
            </w:pPr>
            <w:r>
              <w:rPr>
                <w:color w:val="000000"/>
                <w:sz w:val="24"/>
                <w:szCs w:val="24"/>
                <w:lang w:eastAsia="cs-CZ"/>
              </w:rPr>
              <w:t>P</w:t>
            </w:r>
          </w:p>
        </w:tc>
        <w:tc>
          <w:tcPr>
            <w:tcW w:w="1646" w:type="dxa"/>
            <w:noWrap/>
            <w:vAlign w:val="center"/>
            <w:hideMark/>
          </w:tcPr>
          <w:p w:rsidR="00D6513E" w:rsidRPr="00AD274D" w:rsidRDefault="00D6513E" w:rsidP="001A318C">
            <w:pPr>
              <w:spacing w:line="276" w:lineRule="auto"/>
              <w:jc w:val="center"/>
              <w:cnfStyle w:val="100000000000"/>
              <w:rPr>
                <w:color w:val="000000"/>
                <w:sz w:val="24"/>
                <w:szCs w:val="24"/>
                <w:lang w:eastAsia="cs-CZ"/>
              </w:rPr>
            </w:pPr>
            <w:r w:rsidRPr="00AD274D">
              <w:rPr>
                <w:color w:val="000000"/>
                <w:sz w:val="24"/>
                <w:szCs w:val="24"/>
                <w:lang w:eastAsia="cs-CZ"/>
              </w:rPr>
              <w:t>Opční prémie</w:t>
            </w:r>
          </w:p>
        </w:tc>
      </w:tr>
      <w:tr w:rsidR="00D6513E" w:rsidRPr="00AD274D" w:rsidTr="001433CF">
        <w:trPr>
          <w:cnfStyle w:val="000000100000"/>
          <w:trHeight w:val="300"/>
          <w:jc w:val="center"/>
        </w:trPr>
        <w:tc>
          <w:tcPr>
            <w:cnfStyle w:val="001000000000"/>
            <w:tcW w:w="1242" w:type="dxa"/>
            <w:shd w:val="clear" w:color="auto" w:fill="D9D9D9" w:themeFill="background1" w:themeFillShade="D9"/>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7. 2. 2013</w:t>
            </w:r>
          </w:p>
        </w:tc>
        <w:tc>
          <w:tcPr>
            <w:tcW w:w="1591"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lang w:eastAsia="cs-CZ"/>
              </w:rPr>
            </w:pPr>
            <w:r w:rsidRPr="00AD274D">
              <w:rPr>
                <w:color w:val="000000"/>
                <w:sz w:val="24"/>
                <w:szCs w:val="24"/>
                <w:lang w:eastAsia="cs-CZ"/>
              </w:rPr>
              <w:t>1,3398</w:t>
            </w:r>
          </w:p>
        </w:tc>
        <w:tc>
          <w:tcPr>
            <w:tcW w:w="1430"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lang w:eastAsia="cs-CZ"/>
              </w:rPr>
            </w:pPr>
          </w:p>
        </w:tc>
        <w:tc>
          <w:tcPr>
            <w:tcW w:w="1646"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lang w:eastAsia="cs-CZ"/>
              </w:rPr>
            </w:pPr>
          </w:p>
        </w:tc>
      </w:tr>
      <w:tr w:rsidR="00D6513E" w:rsidRPr="00AD274D" w:rsidTr="001A318C">
        <w:trPr>
          <w:trHeight w:val="300"/>
          <w:jc w:val="center"/>
        </w:trPr>
        <w:tc>
          <w:tcPr>
            <w:cnfStyle w:val="001000000000"/>
            <w:tcW w:w="1242" w:type="dxa"/>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7. 8. 2013</w:t>
            </w:r>
          </w:p>
        </w:tc>
        <w:tc>
          <w:tcPr>
            <w:tcW w:w="1591" w:type="dxa"/>
            <w:noWrap/>
            <w:vAlign w:val="center"/>
            <w:hideMark/>
          </w:tcPr>
          <w:p w:rsidR="00D6513E" w:rsidRPr="00AD274D" w:rsidRDefault="00D6513E" w:rsidP="001A318C">
            <w:pPr>
              <w:spacing w:line="276" w:lineRule="auto"/>
              <w:jc w:val="center"/>
              <w:cnfStyle w:val="000000000000"/>
              <w:rPr>
                <w:color w:val="000000"/>
                <w:sz w:val="24"/>
                <w:szCs w:val="24"/>
                <w:lang w:eastAsia="cs-CZ"/>
              </w:rPr>
            </w:pPr>
            <w:r w:rsidRPr="00AD274D">
              <w:rPr>
                <w:color w:val="000000"/>
                <w:sz w:val="24"/>
                <w:szCs w:val="24"/>
                <w:lang w:eastAsia="cs-CZ"/>
              </w:rPr>
              <w:t>1,1069</w:t>
            </w:r>
          </w:p>
        </w:tc>
        <w:tc>
          <w:tcPr>
            <w:tcW w:w="1430"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0,0564</w:t>
            </w:r>
          </w:p>
        </w:tc>
        <w:tc>
          <w:tcPr>
            <w:tcW w:w="1646"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5 642,94</w:t>
            </w:r>
          </w:p>
        </w:tc>
      </w:tr>
      <w:tr w:rsidR="00D6513E" w:rsidRPr="00AD274D" w:rsidTr="001433CF">
        <w:trPr>
          <w:cnfStyle w:val="000000100000"/>
          <w:trHeight w:val="300"/>
          <w:jc w:val="center"/>
        </w:trPr>
        <w:tc>
          <w:tcPr>
            <w:cnfStyle w:val="001000000000"/>
            <w:tcW w:w="1242" w:type="dxa"/>
            <w:shd w:val="clear" w:color="auto" w:fill="D9D9D9" w:themeFill="background1" w:themeFillShade="D9"/>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7. 2. 2014</w:t>
            </w:r>
          </w:p>
        </w:tc>
        <w:tc>
          <w:tcPr>
            <w:tcW w:w="1591"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lang w:eastAsia="cs-CZ"/>
              </w:rPr>
            </w:pPr>
            <w:r w:rsidRPr="00AD274D">
              <w:rPr>
                <w:color w:val="000000"/>
                <w:sz w:val="24"/>
                <w:szCs w:val="24"/>
                <w:lang w:eastAsia="cs-CZ"/>
              </w:rPr>
              <w:t>1,1551</w:t>
            </w:r>
          </w:p>
        </w:tc>
        <w:tc>
          <w:tcPr>
            <w:tcW w:w="1430"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0,0794</w:t>
            </w:r>
          </w:p>
        </w:tc>
        <w:tc>
          <w:tcPr>
            <w:tcW w:w="1646"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7 942,36</w:t>
            </w:r>
          </w:p>
        </w:tc>
      </w:tr>
      <w:tr w:rsidR="00D6513E" w:rsidRPr="00AD274D" w:rsidTr="001A318C">
        <w:trPr>
          <w:trHeight w:val="300"/>
          <w:jc w:val="center"/>
        </w:trPr>
        <w:tc>
          <w:tcPr>
            <w:cnfStyle w:val="001000000000"/>
            <w:tcW w:w="1242" w:type="dxa"/>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7. 8. 2014</w:t>
            </w:r>
          </w:p>
        </w:tc>
        <w:tc>
          <w:tcPr>
            <w:tcW w:w="1591" w:type="dxa"/>
            <w:noWrap/>
            <w:vAlign w:val="center"/>
            <w:hideMark/>
          </w:tcPr>
          <w:p w:rsidR="00D6513E" w:rsidRPr="00AD274D" w:rsidRDefault="00D6513E" w:rsidP="001A318C">
            <w:pPr>
              <w:spacing w:line="276" w:lineRule="auto"/>
              <w:jc w:val="center"/>
              <w:cnfStyle w:val="000000000000"/>
              <w:rPr>
                <w:color w:val="000000"/>
                <w:sz w:val="24"/>
                <w:szCs w:val="24"/>
                <w:lang w:eastAsia="cs-CZ"/>
              </w:rPr>
            </w:pPr>
            <w:r w:rsidRPr="00AD274D">
              <w:rPr>
                <w:color w:val="000000"/>
                <w:sz w:val="24"/>
                <w:szCs w:val="24"/>
                <w:lang w:eastAsia="cs-CZ"/>
              </w:rPr>
              <w:t>1,3594</w:t>
            </w:r>
          </w:p>
        </w:tc>
        <w:tc>
          <w:tcPr>
            <w:tcW w:w="1430"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0,0969</w:t>
            </w:r>
          </w:p>
        </w:tc>
        <w:tc>
          <w:tcPr>
            <w:tcW w:w="1646"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9 687,18</w:t>
            </w:r>
          </w:p>
        </w:tc>
      </w:tr>
      <w:tr w:rsidR="00D6513E" w:rsidRPr="00AD274D" w:rsidTr="001433CF">
        <w:trPr>
          <w:cnfStyle w:val="000000100000"/>
          <w:trHeight w:val="300"/>
          <w:jc w:val="center"/>
        </w:trPr>
        <w:tc>
          <w:tcPr>
            <w:cnfStyle w:val="001000000000"/>
            <w:tcW w:w="1242" w:type="dxa"/>
            <w:shd w:val="clear" w:color="auto" w:fill="D9D9D9" w:themeFill="background1" w:themeFillShade="D9"/>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7. 2. 2015</w:t>
            </w:r>
          </w:p>
        </w:tc>
        <w:tc>
          <w:tcPr>
            <w:tcW w:w="1591"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lang w:eastAsia="cs-CZ"/>
              </w:rPr>
            </w:pPr>
            <w:r w:rsidRPr="00AD274D">
              <w:rPr>
                <w:color w:val="000000"/>
                <w:sz w:val="24"/>
                <w:szCs w:val="24"/>
                <w:lang w:eastAsia="cs-CZ"/>
              </w:rPr>
              <w:t>1,0327</w:t>
            </w:r>
          </w:p>
        </w:tc>
        <w:tc>
          <w:tcPr>
            <w:tcW w:w="1430"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0,1114</w:t>
            </w:r>
          </w:p>
        </w:tc>
        <w:tc>
          <w:tcPr>
            <w:tcW w:w="1646"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11 143,80</w:t>
            </w:r>
          </w:p>
        </w:tc>
      </w:tr>
      <w:tr w:rsidR="00D6513E" w:rsidRPr="00AD274D" w:rsidTr="001A318C">
        <w:trPr>
          <w:trHeight w:val="300"/>
          <w:jc w:val="center"/>
        </w:trPr>
        <w:tc>
          <w:tcPr>
            <w:cnfStyle w:val="001000000000"/>
            <w:tcW w:w="1242" w:type="dxa"/>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7. 8. 2015</w:t>
            </w:r>
          </w:p>
        </w:tc>
        <w:tc>
          <w:tcPr>
            <w:tcW w:w="1591" w:type="dxa"/>
            <w:noWrap/>
            <w:vAlign w:val="center"/>
            <w:hideMark/>
          </w:tcPr>
          <w:p w:rsidR="00D6513E" w:rsidRPr="00AD274D" w:rsidRDefault="00D6513E" w:rsidP="001A318C">
            <w:pPr>
              <w:spacing w:line="276" w:lineRule="auto"/>
              <w:jc w:val="center"/>
              <w:cnfStyle w:val="000000000000"/>
              <w:rPr>
                <w:color w:val="000000"/>
                <w:sz w:val="24"/>
                <w:szCs w:val="24"/>
                <w:lang w:eastAsia="cs-CZ"/>
              </w:rPr>
            </w:pPr>
            <w:r w:rsidRPr="00AD274D">
              <w:rPr>
                <w:color w:val="000000"/>
                <w:sz w:val="24"/>
                <w:szCs w:val="24"/>
                <w:lang w:eastAsia="cs-CZ"/>
              </w:rPr>
              <w:t>1,0033</w:t>
            </w:r>
          </w:p>
        </w:tc>
        <w:tc>
          <w:tcPr>
            <w:tcW w:w="1430"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0,1241</w:t>
            </w:r>
          </w:p>
        </w:tc>
        <w:tc>
          <w:tcPr>
            <w:tcW w:w="1646"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12 414,74</w:t>
            </w:r>
          </w:p>
        </w:tc>
      </w:tr>
      <w:tr w:rsidR="00D6513E" w:rsidRPr="00AD274D" w:rsidTr="001433CF">
        <w:trPr>
          <w:cnfStyle w:val="000000100000"/>
          <w:trHeight w:val="300"/>
          <w:jc w:val="center"/>
        </w:trPr>
        <w:tc>
          <w:tcPr>
            <w:cnfStyle w:val="001000000000"/>
            <w:tcW w:w="1242" w:type="dxa"/>
            <w:shd w:val="clear" w:color="auto" w:fill="D9D9D9" w:themeFill="background1" w:themeFillShade="D9"/>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7. 2. 2016</w:t>
            </w:r>
          </w:p>
        </w:tc>
        <w:tc>
          <w:tcPr>
            <w:tcW w:w="1591"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lang w:eastAsia="cs-CZ"/>
              </w:rPr>
            </w:pPr>
            <w:r w:rsidRPr="00AD274D">
              <w:rPr>
                <w:color w:val="000000"/>
                <w:sz w:val="24"/>
                <w:szCs w:val="24"/>
                <w:lang w:eastAsia="cs-CZ"/>
              </w:rPr>
              <w:t>1,2013</w:t>
            </w:r>
          </w:p>
        </w:tc>
        <w:tc>
          <w:tcPr>
            <w:tcW w:w="1430"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0,1355</w:t>
            </w:r>
          </w:p>
        </w:tc>
        <w:tc>
          <w:tcPr>
            <w:tcW w:w="1646"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13 552,77</w:t>
            </w:r>
          </w:p>
        </w:tc>
      </w:tr>
      <w:tr w:rsidR="00D6513E" w:rsidRPr="00AD274D" w:rsidTr="001A318C">
        <w:trPr>
          <w:trHeight w:val="300"/>
          <w:jc w:val="center"/>
        </w:trPr>
        <w:tc>
          <w:tcPr>
            <w:cnfStyle w:val="001000000000"/>
            <w:tcW w:w="1242" w:type="dxa"/>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7. 8. 2016</w:t>
            </w:r>
          </w:p>
        </w:tc>
        <w:tc>
          <w:tcPr>
            <w:tcW w:w="1591" w:type="dxa"/>
            <w:noWrap/>
            <w:vAlign w:val="center"/>
            <w:hideMark/>
          </w:tcPr>
          <w:p w:rsidR="00D6513E" w:rsidRPr="00AD274D" w:rsidRDefault="00D6513E" w:rsidP="001A318C">
            <w:pPr>
              <w:spacing w:line="276" w:lineRule="auto"/>
              <w:jc w:val="center"/>
              <w:cnfStyle w:val="000000000000"/>
              <w:rPr>
                <w:color w:val="000000"/>
                <w:sz w:val="24"/>
                <w:szCs w:val="24"/>
                <w:lang w:eastAsia="cs-CZ"/>
              </w:rPr>
            </w:pPr>
            <w:r w:rsidRPr="00AD274D">
              <w:rPr>
                <w:color w:val="000000"/>
                <w:sz w:val="24"/>
                <w:szCs w:val="24"/>
                <w:lang w:eastAsia="cs-CZ"/>
              </w:rPr>
              <w:t>1,2396</w:t>
            </w:r>
          </w:p>
        </w:tc>
        <w:tc>
          <w:tcPr>
            <w:tcW w:w="1430"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0,1459</w:t>
            </w:r>
          </w:p>
        </w:tc>
        <w:tc>
          <w:tcPr>
            <w:tcW w:w="1646"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14 589,36</w:t>
            </w:r>
          </w:p>
        </w:tc>
      </w:tr>
      <w:tr w:rsidR="00D6513E" w:rsidRPr="00AD274D" w:rsidTr="001433CF">
        <w:trPr>
          <w:cnfStyle w:val="000000100000"/>
          <w:trHeight w:val="300"/>
          <w:jc w:val="center"/>
        </w:trPr>
        <w:tc>
          <w:tcPr>
            <w:cnfStyle w:val="001000000000"/>
            <w:tcW w:w="1242" w:type="dxa"/>
            <w:shd w:val="clear" w:color="auto" w:fill="D9D9D9" w:themeFill="background1" w:themeFillShade="D9"/>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7. 2. 2017</w:t>
            </w:r>
          </w:p>
        </w:tc>
        <w:tc>
          <w:tcPr>
            <w:tcW w:w="1591"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lang w:eastAsia="cs-CZ"/>
              </w:rPr>
            </w:pPr>
            <w:r w:rsidRPr="00AD274D">
              <w:rPr>
                <w:color w:val="000000"/>
                <w:sz w:val="24"/>
                <w:szCs w:val="24"/>
                <w:lang w:eastAsia="cs-CZ"/>
              </w:rPr>
              <w:t>1,2775</w:t>
            </w:r>
          </w:p>
        </w:tc>
        <w:tc>
          <w:tcPr>
            <w:tcW w:w="1430"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0,1555</w:t>
            </w:r>
          </w:p>
        </w:tc>
        <w:tc>
          <w:tcPr>
            <w:tcW w:w="1646"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15 545,09</w:t>
            </w:r>
          </w:p>
        </w:tc>
      </w:tr>
      <w:tr w:rsidR="00D6513E" w:rsidRPr="00AD274D" w:rsidTr="001A318C">
        <w:trPr>
          <w:trHeight w:val="300"/>
          <w:jc w:val="center"/>
        </w:trPr>
        <w:tc>
          <w:tcPr>
            <w:cnfStyle w:val="001000000000"/>
            <w:tcW w:w="1242" w:type="dxa"/>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7. 8. 2017</w:t>
            </w:r>
          </w:p>
        </w:tc>
        <w:tc>
          <w:tcPr>
            <w:tcW w:w="1591" w:type="dxa"/>
            <w:noWrap/>
            <w:vAlign w:val="center"/>
            <w:hideMark/>
          </w:tcPr>
          <w:p w:rsidR="00D6513E" w:rsidRPr="00AD274D" w:rsidRDefault="00D6513E" w:rsidP="001A318C">
            <w:pPr>
              <w:spacing w:line="276" w:lineRule="auto"/>
              <w:jc w:val="center"/>
              <w:cnfStyle w:val="000000000000"/>
              <w:rPr>
                <w:color w:val="000000"/>
                <w:sz w:val="24"/>
                <w:szCs w:val="24"/>
                <w:lang w:eastAsia="cs-CZ"/>
              </w:rPr>
            </w:pPr>
            <w:r w:rsidRPr="00AD274D">
              <w:rPr>
                <w:color w:val="000000"/>
                <w:sz w:val="24"/>
                <w:szCs w:val="24"/>
                <w:lang w:eastAsia="cs-CZ"/>
              </w:rPr>
              <w:t>1,3761</w:t>
            </w:r>
          </w:p>
        </w:tc>
        <w:tc>
          <w:tcPr>
            <w:tcW w:w="1430"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0,1643</w:t>
            </w:r>
          </w:p>
        </w:tc>
        <w:tc>
          <w:tcPr>
            <w:tcW w:w="1646" w:type="dxa"/>
            <w:noWrap/>
            <w:vAlign w:val="center"/>
            <w:hideMark/>
          </w:tcPr>
          <w:p w:rsidR="00D6513E" w:rsidRPr="00AD274D" w:rsidRDefault="00D6513E" w:rsidP="001A318C">
            <w:pPr>
              <w:spacing w:line="276" w:lineRule="auto"/>
              <w:jc w:val="center"/>
              <w:cnfStyle w:val="000000000000"/>
              <w:rPr>
                <w:color w:val="000000"/>
                <w:sz w:val="24"/>
                <w:szCs w:val="24"/>
              </w:rPr>
            </w:pPr>
            <w:r w:rsidRPr="00AD274D">
              <w:rPr>
                <w:color w:val="000000"/>
                <w:sz w:val="24"/>
                <w:szCs w:val="24"/>
              </w:rPr>
              <w:t>16 434,28</w:t>
            </w:r>
          </w:p>
        </w:tc>
      </w:tr>
      <w:tr w:rsidR="00D6513E" w:rsidRPr="00AD274D" w:rsidTr="001433CF">
        <w:trPr>
          <w:cnfStyle w:val="000000100000"/>
          <w:trHeight w:val="300"/>
          <w:jc w:val="center"/>
        </w:trPr>
        <w:tc>
          <w:tcPr>
            <w:cnfStyle w:val="001000000000"/>
            <w:tcW w:w="1242" w:type="dxa"/>
            <w:shd w:val="clear" w:color="auto" w:fill="D9D9D9" w:themeFill="background1" w:themeFillShade="D9"/>
            <w:noWrap/>
            <w:vAlign w:val="center"/>
            <w:hideMark/>
          </w:tcPr>
          <w:p w:rsidR="00D6513E" w:rsidRPr="00AD274D" w:rsidRDefault="00D6513E" w:rsidP="001A318C">
            <w:pPr>
              <w:spacing w:line="276" w:lineRule="auto"/>
              <w:jc w:val="center"/>
              <w:rPr>
                <w:b w:val="0"/>
                <w:color w:val="000000"/>
                <w:sz w:val="24"/>
                <w:szCs w:val="24"/>
                <w:lang w:eastAsia="cs-CZ"/>
              </w:rPr>
            </w:pPr>
            <w:r w:rsidRPr="00AD274D">
              <w:rPr>
                <w:b w:val="0"/>
                <w:color w:val="000000"/>
                <w:sz w:val="24"/>
                <w:szCs w:val="24"/>
                <w:lang w:eastAsia="cs-CZ"/>
              </w:rPr>
              <w:t>7. 2. 2018</w:t>
            </w:r>
          </w:p>
        </w:tc>
        <w:tc>
          <w:tcPr>
            <w:tcW w:w="1591"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lang w:eastAsia="cs-CZ"/>
              </w:rPr>
            </w:pPr>
            <w:r w:rsidRPr="00AD274D">
              <w:rPr>
                <w:color w:val="000000"/>
                <w:sz w:val="24"/>
                <w:szCs w:val="24"/>
                <w:lang w:eastAsia="cs-CZ"/>
              </w:rPr>
              <w:t>1,5461</w:t>
            </w:r>
          </w:p>
        </w:tc>
        <w:tc>
          <w:tcPr>
            <w:tcW w:w="1430"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0,1727</w:t>
            </w:r>
          </w:p>
        </w:tc>
        <w:tc>
          <w:tcPr>
            <w:tcW w:w="1646" w:type="dxa"/>
            <w:shd w:val="clear" w:color="auto" w:fill="D9D9D9" w:themeFill="background1" w:themeFillShade="D9"/>
            <w:noWrap/>
            <w:vAlign w:val="center"/>
            <w:hideMark/>
          </w:tcPr>
          <w:p w:rsidR="00D6513E" w:rsidRPr="00AD274D" w:rsidRDefault="00D6513E" w:rsidP="001A318C">
            <w:pPr>
              <w:spacing w:line="276" w:lineRule="auto"/>
              <w:jc w:val="center"/>
              <w:cnfStyle w:val="000000100000"/>
              <w:rPr>
                <w:color w:val="000000"/>
                <w:sz w:val="24"/>
                <w:szCs w:val="24"/>
              </w:rPr>
            </w:pPr>
            <w:r w:rsidRPr="00AD274D">
              <w:rPr>
                <w:color w:val="000000"/>
                <w:sz w:val="24"/>
                <w:szCs w:val="24"/>
              </w:rPr>
              <w:t>17 267,42</w:t>
            </w:r>
          </w:p>
        </w:tc>
      </w:tr>
    </w:tbl>
    <w:p w:rsidR="00DD70E2" w:rsidRDefault="001A318C" w:rsidP="001A318C">
      <w:pPr>
        <w:spacing w:before="240" w:line="276" w:lineRule="auto"/>
        <w:jc w:val="both"/>
        <w:rPr>
          <w:i/>
          <w:sz w:val="20"/>
        </w:rPr>
      </w:pPr>
      <w:r>
        <w:rPr>
          <w:i/>
          <w:sz w:val="20"/>
        </w:rPr>
        <w:t xml:space="preserve">Pramen: Vlastní zpracování. </w:t>
      </w:r>
    </w:p>
    <w:p w:rsidR="001A318C" w:rsidRDefault="00DD70E2" w:rsidP="001A318C">
      <w:pPr>
        <w:spacing w:line="276" w:lineRule="auto"/>
        <w:jc w:val="both"/>
        <w:rPr>
          <w:i/>
          <w:sz w:val="20"/>
        </w:rPr>
      </w:pPr>
      <w:r>
        <w:rPr>
          <w:i/>
          <w:sz w:val="20"/>
        </w:rPr>
        <w:t>Měnové kurzy uvedeny v USD/EUR, opční prémie uvedena v dolarech</w:t>
      </w:r>
      <w:r w:rsidR="001A318C">
        <w:rPr>
          <w:i/>
          <w:sz w:val="20"/>
        </w:rPr>
        <w:t>.</w:t>
      </w:r>
    </w:p>
    <w:p w:rsidR="001A318C" w:rsidRPr="001A318C" w:rsidRDefault="001A318C" w:rsidP="001A318C">
      <w:pPr>
        <w:spacing w:before="240" w:after="240" w:line="276" w:lineRule="auto"/>
        <w:jc w:val="both"/>
      </w:pPr>
    </w:p>
    <w:p w:rsidR="00D6513E" w:rsidRDefault="00D6513E" w:rsidP="00D6513E">
      <w:pPr>
        <w:spacing w:after="240" w:line="276" w:lineRule="auto"/>
        <w:jc w:val="both"/>
      </w:pPr>
      <w:r>
        <w:t xml:space="preserve">V Tabulce </w:t>
      </w:r>
      <w:r w:rsidR="001A318C">
        <w:t>13</w:t>
      </w:r>
      <w:r>
        <w:t xml:space="preserve"> jsou uvedeny výše opčních prémií pro jednotlivé put opce. Je patrné, že</w:t>
      </w:r>
      <w:r w:rsidR="00DD70E2">
        <w:t> </w:t>
      </w:r>
      <w:r>
        <w:t xml:space="preserve">s rostoucí dobou do splatnosti u sjednané opce roste i její opční prémie. Výše těchto prémií je u nejdelších opcí již poměrně vysoká, což by mohlo společnost </w:t>
      </w:r>
      <w:r w:rsidR="00361DA1">
        <w:t>Delor</w:t>
      </w:r>
      <w:r>
        <w:t xml:space="preserve"> odradit. Budeme přesto předpokládat, že na velikost všech opčních prémií společnost přistoupí.</w:t>
      </w:r>
    </w:p>
    <w:p w:rsidR="00306791" w:rsidRDefault="00306791" w:rsidP="001A318C">
      <w:pPr>
        <w:pStyle w:val="Titulek"/>
        <w:keepNext/>
        <w:spacing w:line="276" w:lineRule="auto"/>
        <w:jc w:val="both"/>
        <w:rPr>
          <w:rFonts w:ascii="Times New Roman" w:hAnsi="Times New Roman" w:cs="Times New Roman"/>
          <w:b w:val="0"/>
          <w:color w:val="auto"/>
          <w:sz w:val="24"/>
        </w:rPr>
      </w:pPr>
    </w:p>
    <w:p w:rsidR="001A318C" w:rsidRPr="001A318C" w:rsidRDefault="001A318C" w:rsidP="001A318C">
      <w:pPr>
        <w:pStyle w:val="Titulek"/>
        <w:keepNext/>
        <w:spacing w:line="276" w:lineRule="auto"/>
        <w:jc w:val="both"/>
        <w:rPr>
          <w:rFonts w:ascii="Times New Roman" w:hAnsi="Times New Roman" w:cs="Times New Roman"/>
          <w:b w:val="0"/>
          <w:color w:val="auto"/>
          <w:sz w:val="24"/>
        </w:rPr>
      </w:pPr>
      <w:bookmarkStart w:id="99" w:name="_Toc354393037"/>
      <w:r w:rsidRPr="001A318C">
        <w:rPr>
          <w:rFonts w:ascii="Times New Roman" w:hAnsi="Times New Roman" w:cs="Times New Roman"/>
          <w:b w:val="0"/>
          <w:color w:val="auto"/>
          <w:sz w:val="24"/>
        </w:rPr>
        <w:t xml:space="preserve">Tabulka </w:t>
      </w:r>
      <w:r w:rsidR="00FA567C" w:rsidRPr="001A318C">
        <w:rPr>
          <w:rFonts w:ascii="Times New Roman" w:hAnsi="Times New Roman" w:cs="Times New Roman"/>
          <w:b w:val="0"/>
          <w:color w:val="auto"/>
          <w:sz w:val="24"/>
        </w:rPr>
        <w:fldChar w:fldCharType="begin"/>
      </w:r>
      <w:r w:rsidRPr="001A318C">
        <w:rPr>
          <w:rFonts w:ascii="Times New Roman" w:hAnsi="Times New Roman" w:cs="Times New Roman"/>
          <w:b w:val="0"/>
          <w:color w:val="auto"/>
          <w:sz w:val="24"/>
        </w:rPr>
        <w:instrText xml:space="preserve"> SEQ Tabulka \* ARABIC </w:instrText>
      </w:r>
      <w:r w:rsidR="00FA567C" w:rsidRPr="001A318C">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14</w:t>
      </w:r>
      <w:r w:rsidR="00FA567C" w:rsidRPr="001A318C">
        <w:rPr>
          <w:rFonts w:ascii="Times New Roman" w:hAnsi="Times New Roman" w:cs="Times New Roman"/>
          <w:b w:val="0"/>
          <w:color w:val="auto"/>
          <w:sz w:val="24"/>
        </w:rPr>
        <w:fldChar w:fldCharType="end"/>
      </w:r>
      <w:r w:rsidRPr="001A318C">
        <w:rPr>
          <w:rFonts w:ascii="Times New Roman" w:hAnsi="Times New Roman" w:cs="Times New Roman"/>
          <w:b w:val="0"/>
          <w:color w:val="auto"/>
          <w:sz w:val="24"/>
        </w:rPr>
        <w:t>: Výsledné hodnoty</w:t>
      </w:r>
      <w:r w:rsidR="00DD70E2">
        <w:rPr>
          <w:rFonts w:ascii="Times New Roman" w:hAnsi="Times New Roman" w:cs="Times New Roman"/>
          <w:b w:val="0"/>
          <w:color w:val="auto"/>
          <w:sz w:val="24"/>
        </w:rPr>
        <w:t xml:space="preserve"> zajištění pomocí</w:t>
      </w:r>
      <w:r w:rsidRPr="001A318C">
        <w:rPr>
          <w:rFonts w:ascii="Times New Roman" w:hAnsi="Times New Roman" w:cs="Times New Roman"/>
          <w:b w:val="0"/>
          <w:color w:val="auto"/>
          <w:sz w:val="24"/>
        </w:rPr>
        <w:t xml:space="preserve"> long put opcí</w:t>
      </w:r>
      <w:bookmarkEnd w:id="99"/>
    </w:p>
    <w:tbl>
      <w:tblPr>
        <w:tblStyle w:val="Svtlstnovn1"/>
        <w:tblW w:w="8755" w:type="dxa"/>
        <w:jc w:val="center"/>
        <w:tblLook w:val="04E0"/>
      </w:tblPr>
      <w:tblGrid>
        <w:gridCol w:w="1247"/>
        <w:gridCol w:w="1129"/>
        <w:gridCol w:w="1706"/>
        <w:gridCol w:w="1838"/>
        <w:gridCol w:w="1230"/>
        <w:gridCol w:w="1605"/>
      </w:tblGrid>
      <w:tr w:rsidR="00D6513E" w:rsidRPr="00D7640B" w:rsidTr="001A318C">
        <w:trPr>
          <w:cnfStyle w:val="100000000000"/>
          <w:trHeight w:val="300"/>
          <w:jc w:val="center"/>
        </w:trPr>
        <w:tc>
          <w:tcPr>
            <w:cnfStyle w:val="001000000000"/>
            <w:tcW w:w="1247" w:type="dxa"/>
            <w:noWrap/>
            <w:vAlign w:val="center"/>
            <w:hideMark/>
          </w:tcPr>
          <w:p w:rsidR="00D6513E" w:rsidRPr="00D7640B" w:rsidRDefault="00D6513E" w:rsidP="001A318C">
            <w:pPr>
              <w:spacing w:line="276" w:lineRule="auto"/>
              <w:jc w:val="center"/>
              <w:rPr>
                <w:color w:val="000000"/>
                <w:sz w:val="24"/>
                <w:szCs w:val="24"/>
                <w:lang w:eastAsia="cs-CZ"/>
              </w:rPr>
            </w:pPr>
            <w:r w:rsidRPr="00D7640B">
              <w:rPr>
                <w:color w:val="000000"/>
                <w:sz w:val="24"/>
                <w:szCs w:val="24"/>
                <w:lang w:eastAsia="cs-CZ"/>
              </w:rPr>
              <w:t>Datum</w:t>
            </w:r>
          </w:p>
        </w:tc>
        <w:tc>
          <w:tcPr>
            <w:tcW w:w="1129" w:type="dxa"/>
            <w:noWrap/>
            <w:vAlign w:val="center"/>
            <w:hideMark/>
          </w:tcPr>
          <w:p w:rsidR="00D6513E" w:rsidRPr="00D7640B" w:rsidRDefault="00D6513E" w:rsidP="001A318C">
            <w:pPr>
              <w:spacing w:line="276" w:lineRule="auto"/>
              <w:jc w:val="center"/>
              <w:cnfStyle w:val="100000000000"/>
              <w:rPr>
                <w:color w:val="000000"/>
                <w:sz w:val="24"/>
                <w:szCs w:val="24"/>
                <w:lang w:eastAsia="cs-CZ"/>
              </w:rPr>
            </w:pPr>
            <w:r>
              <w:rPr>
                <w:color w:val="000000"/>
                <w:sz w:val="24"/>
                <w:szCs w:val="24"/>
                <w:lang w:eastAsia="cs-CZ"/>
              </w:rPr>
              <w:t>Spotový kurz</w:t>
            </w:r>
          </w:p>
        </w:tc>
        <w:tc>
          <w:tcPr>
            <w:tcW w:w="1706" w:type="dxa"/>
            <w:noWrap/>
            <w:vAlign w:val="center"/>
            <w:hideMark/>
          </w:tcPr>
          <w:p w:rsidR="00D6513E" w:rsidRPr="00D7640B" w:rsidRDefault="00D6513E" w:rsidP="001A318C">
            <w:pPr>
              <w:spacing w:line="276" w:lineRule="auto"/>
              <w:jc w:val="center"/>
              <w:cnfStyle w:val="100000000000"/>
              <w:rPr>
                <w:color w:val="000000"/>
                <w:sz w:val="24"/>
                <w:szCs w:val="24"/>
                <w:lang w:eastAsia="cs-CZ"/>
              </w:rPr>
            </w:pPr>
            <w:r>
              <w:rPr>
                <w:color w:val="000000"/>
                <w:sz w:val="24"/>
                <w:szCs w:val="24"/>
                <w:lang w:eastAsia="cs-CZ"/>
              </w:rPr>
              <w:t>Směna na spotovém trhu</w:t>
            </w:r>
          </w:p>
        </w:tc>
        <w:tc>
          <w:tcPr>
            <w:tcW w:w="1838" w:type="dxa"/>
            <w:noWrap/>
            <w:vAlign w:val="center"/>
            <w:hideMark/>
          </w:tcPr>
          <w:p w:rsidR="00D6513E" w:rsidRPr="00D7640B" w:rsidRDefault="00D6513E" w:rsidP="001A318C">
            <w:pPr>
              <w:spacing w:line="276" w:lineRule="auto"/>
              <w:jc w:val="center"/>
              <w:cnfStyle w:val="100000000000"/>
              <w:rPr>
                <w:color w:val="000000"/>
                <w:sz w:val="24"/>
                <w:szCs w:val="24"/>
                <w:lang w:eastAsia="cs-CZ"/>
              </w:rPr>
            </w:pPr>
            <w:r>
              <w:rPr>
                <w:color w:val="000000"/>
                <w:sz w:val="24"/>
                <w:szCs w:val="24"/>
                <w:lang w:eastAsia="cs-CZ"/>
              </w:rPr>
              <w:t>Směna za realizační cenu</w:t>
            </w:r>
          </w:p>
        </w:tc>
        <w:tc>
          <w:tcPr>
            <w:tcW w:w="1230" w:type="dxa"/>
            <w:noWrap/>
            <w:vAlign w:val="center"/>
            <w:hideMark/>
          </w:tcPr>
          <w:p w:rsidR="00D6513E" w:rsidRPr="00D7640B" w:rsidRDefault="00D6513E" w:rsidP="001A318C">
            <w:pPr>
              <w:spacing w:line="276" w:lineRule="auto"/>
              <w:jc w:val="center"/>
              <w:cnfStyle w:val="100000000000"/>
              <w:rPr>
                <w:color w:val="000000"/>
                <w:sz w:val="24"/>
                <w:szCs w:val="24"/>
                <w:lang w:eastAsia="cs-CZ"/>
              </w:rPr>
            </w:pPr>
            <w:r>
              <w:rPr>
                <w:color w:val="000000"/>
                <w:sz w:val="24"/>
                <w:szCs w:val="24"/>
                <w:lang w:eastAsia="cs-CZ"/>
              </w:rPr>
              <w:t>U</w:t>
            </w:r>
            <w:r w:rsidRPr="00D7640B">
              <w:rPr>
                <w:color w:val="000000"/>
                <w:sz w:val="24"/>
                <w:szCs w:val="24"/>
                <w:lang w:eastAsia="cs-CZ"/>
              </w:rPr>
              <w:t>platnění</w:t>
            </w:r>
            <w:r>
              <w:rPr>
                <w:color w:val="000000"/>
                <w:sz w:val="24"/>
                <w:szCs w:val="24"/>
                <w:lang w:eastAsia="cs-CZ"/>
              </w:rPr>
              <w:t xml:space="preserve"> opce</w:t>
            </w:r>
          </w:p>
        </w:tc>
        <w:tc>
          <w:tcPr>
            <w:tcW w:w="1605" w:type="dxa"/>
            <w:noWrap/>
            <w:vAlign w:val="center"/>
            <w:hideMark/>
          </w:tcPr>
          <w:p w:rsidR="00D6513E" w:rsidRPr="00D7640B" w:rsidRDefault="001A318C" w:rsidP="001A318C">
            <w:pPr>
              <w:spacing w:line="276" w:lineRule="auto"/>
              <w:jc w:val="center"/>
              <w:cnfStyle w:val="100000000000"/>
              <w:rPr>
                <w:color w:val="000000"/>
                <w:sz w:val="24"/>
                <w:szCs w:val="24"/>
                <w:lang w:eastAsia="cs-CZ"/>
              </w:rPr>
            </w:pPr>
            <w:r>
              <w:rPr>
                <w:color w:val="000000"/>
                <w:sz w:val="24"/>
                <w:szCs w:val="24"/>
                <w:lang w:eastAsia="cs-CZ"/>
              </w:rPr>
              <w:t>Reálně inkasovaná částka</w:t>
            </w:r>
          </w:p>
        </w:tc>
      </w:tr>
      <w:tr w:rsidR="00D6513E" w:rsidRPr="00D7640B" w:rsidTr="001433CF">
        <w:trPr>
          <w:cnfStyle w:val="000000100000"/>
          <w:trHeight w:val="300"/>
          <w:jc w:val="center"/>
        </w:trPr>
        <w:tc>
          <w:tcPr>
            <w:cnfStyle w:val="001000000000"/>
            <w:tcW w:w="1247" w:type="dxa"/>
            <w:shd w:val="clear" w:color="auto" w:fill="D9D9D9" w:themeFill="background1" w:themeFillShade="D9"/>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2.</w:t>
            </w:r>
            <w:r>
              <w:rPr>
                <w:b w:val="0"/>
                <w:color w:val="000000"/>
                <w:sz w:val="24"/>
                <w:lang w:eastAsia="cs-CZ"/>
              </w:rPr>
              <w:t xml:space="preserve"> </w:t>
            </w:r>
            <w:r w:rsidRPr="00D7640B">
              <w:rPr>
                <w:b w:val="0"/>
                <w:color w:val="000000"/>
                <w:sz w:val="24"/>
                <w:lang w:eastAsia="cs-CZ"/>
              </w:rPr>
              <w:t>2013</w:t>
            </w:r>
          </w:p>
        </w:tc>
        <w:tc>
          <w:tcPr>
            <w:tcW w:w="1129"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1,3398</w:t>
            </w:r>
          </w:p>
        </w:tc>
        <w:tc>
          <w:tcPr>
            <w:tcW w:w="1706"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p>
        </w:tc>
        <w:tc>
          <w:tcPr>
            <w:tcW w:w="1838"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p>
        </w:tc>
        <w:tc>
          <w:tcPr>
            <w:tcW w:w="1230"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p>
        </w:tc>
        <w:tc>
          <w:tcPr>
            <w:tcW w:w="1605"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p>
        </w:tc>
      </w:tr>
      <w:tr w:rsidR="00D6513E" w:rsidRPr="00D7640B" w:rsidTr="001A318C">
        <w:trPr>
          <w:trHeight w:val="300"/>
          <w:jc w:val="center"/>
        </w:trPr>
        <w:tc>
          <w:tcPr>
            <w:cnfStyle w:val="001000000000"/>
            <w:tcW w:w="1247" w:type="dxa"/>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8.</w:t>
            </w:r>
            <w:r>
              <w:rPr>
                <w:b w:val="0"/>
                <w:color w:val="000000"/>
                <w:sz w:val="24"/>
                <w:lang w:eastAsia="cs-CZ"/>
              </w:rPr>
              <w:t xml:space="preserve"> </w:t>
            </w:r>
            <w:r w:rsidRPr="00D7640B">
              <w:rPr>
                <w:b w:val="0"/>
                <w:color w:val="000000"/>
                <w:sz w:val="24"/>
                <w:lang w:eastAsia="cs-CZ"/>
              </w:rPr>
              <w:t>2013</w:t>
            </w:r>
          </w:p>
        </w:tc>
        <w:tc>
          <w:tcPr>
            <w:tcW w:w="1129"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1,1069</w:t>
            </w:r>
          </w:p>
        </w:tc>
        <w:tc>
          <w:tcPr>
            <w:tcW w:w="1706"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110 692,94</w:t>
            </w:r>
          </w:p>
        </w:tc>
        <w:tc>
          <w:tcPr>
            <w:tcW w:w="1838"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133 976,42</w:t>
            </w:r>
          </w:p>
        </w:tc>
        <w:tc>
          <w:tcPr>
            <w:tcW w:w="1230"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ano</w:t>
            </w:r>
          </w:p>
        </w:tc>
        <w:tc>
          <w:tcPr>
            <w:tcW w:w="1605" w:type="dxa"/>
            <w:noWrap/>
            <w:vAlign w:val="center"/>
            <w:hideMark/>
          </w:tcPr>
          <w:p w:rsidR="00D6513E" w:rsidRPr="00BD42A8" w:rsidRDefault="00D6513E" w:rsidP="001A318C">
            <w:pPr>
              <w:spacing w:line="276" w:lineRule="auto"/>
              <w:jc w:val="center"/>
              <w:cnfStyle w:val="000000000000"/>
              <w:rPr>
                <w:color w:val="000000"/>
                <w:sz w:val="24"/>
              </w:rPr>
            </w:pPr>
            <w:r w:rsidRPr="00BD42A8">
              <w:rPr>
                <w:color w:val="000000"/>
                <w:sz w:val="24"/>
              </w:rPr>
              <w:t>128 333,48</w:t>
            </w:r>
          </w:p>
        </w:tc>
      </w:tr>
      <w:tr w:rsidR="00D6513E" w:rsidRPr="00D7640B" w:rsidTr="001433CF">
        <w:trPr>
          <w:cnfStyle w:val="000000100000"/>
          <w:trHeight w:val="300"/>
          <w:jc w:val="center"/>
        </w:trPr>
        <w:tc>
          <w:tcPr>
            <w:cnfStyle w:val="001000000000"/>
            <w:tcW w:w="1247" w:type="dxa"/>
            <w:shd w:val="clear" w:color="auto" w:fill="D9D9D9" w:themeFill="background1" w:themeFillShade="D9"/>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2.</w:t>
            </w:r>
            <w:r>
              <w:rPr>
                <w:b w:val="0"/>
                <w:color w:val="000000"/>
                <w:sz w:val="24"/>
                <w:lang w:eastAsia="cs-CZ"/>
              </w:rPr>
              <w:t xml:space="preserve"> </w:t>
            </w:r>
            <w:r w:rsidRPr="00D7640B">
              <w:rPr>
                <w:b w:val="0"/>
                <w:color w:val="000000"/>
                <w:sz w:val="24"/>
                <w:lang w:eastAsia="cs-CZ"/>
              </w:rPr>
              <w:t>2014</w:t>
            </w:r>
          </w:p>
        </w:tc>
        <w:tc>
          <w:tcPr>
            <w:tcW w:w="1129"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1,1551</w:t>
            </w:r>
          </w:p>
        </w:tc>
        <w:tc>
          <w:tcPr>
            <w:tcW w:w="1706"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115 513,46</w:t>
            </w:r>
          </w:p>
        </w:tc>
        <w:tc>
          <w:tcPr>
            <w:tcW w:w="1838"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133 976,42</w:t>
            </w:r>
          </w:p>
        </w:tc>
        <w:tc>
          <w:tcPr>
            <w:tcW w:w="1230"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ano</w:t>
            </w:r>
          </w:p>
        </w:tc>
        <w:tc>
          <w:tcPr>
            <w:tcW w:w="1605" w:type="dxa"/>
            <w:shd w:val="clear" w:color="auto" w:fill="D9D9D9" w:themeFill="background1" w:themeFillShade="D9"/>
            <w:noWrap/>
            <w:vAlign w:val="center"/>
            <w:hideMark/>
          </w:tcPr>
          <w:p w:rsidR="00D6513E" w:rsidRPr="00BD42A8" w:rsidRDefault="00D6513E" w:rsidP="001A318C">
            <w:pPr>
              <w:spacing w:line="276" w:lineRule="auto"/>
              <w:jc w:val="center"/>
              <w:cnfStyle w:val="000000100000"/>
              <w:rPr>
                <w:color w:val="000000"/>
                <w:sz w:val="24"/>
              </w:rPr>
            </w:pPr>
            <w:r w:rsidRPr="00BD42A8">
              <w:rPr>
                <w:color w:val="000000"/>
                <w:sz w:val="24"/>
              </w:rPr>
              <w:t>126 034,06</w:t>
            </w:r>
          </w:p>
        </w:tc>
      </w:tr>
      <w:tr w:rsidR="00D6513E" w:rsidRPr="00D7640B" w:rsidTr="001A318C">
        <w:trPr>
          <w:trHeight w:val="300"/>
          <w:jc w:val="center"/>
        </w:trPr>
        <w:tc>
          <w:tcPr>
            <w:cnfStyle w:val="001000000000"/>
            <w:tcW w:w="1247" w:type="dxa"/>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8.</w:t>
            </w:r>
            <w:r>
              <w:rPr>
                <w:b w:val="0"/>
                <w:color w:val="000000"/>
                <w:sz w:val="24"/>
                <w:lang w:eastAsia="cs-CZ"/>
              </w:rPr>
              <w:t xml:space="preserve"> </w:t>
            </w:r>
            <w:r w:rsidRPr="00D7640B">
              <w:rPr>
                <w:b w:val="0"/>
                <w:color w:val="000000"/>
                <w:sz w:val="24"/>
                <w:lang w:eastAsia="cs-CZ"/>
              </w:rPr>
              <w:t>2014</w:t>
            </w:r>
          </w:p>
        </w:tc>
        <w:tc>
          <w:tcPr>
            <w:tcW w:w="1129"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1,3594</w:t>
            </w:r>
          </w:p>
        </w:tc>
        <w:tc>
          <w:tcPr>
            <w:tcW w:w="1706"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135 943,45</w:t>
            </w:r>
          </w:p>
        </w:tc>
        <w:tc>
          <w:tcPr>
            <w:tcW w:w="1838"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133 976,42</w:t>
            </w:r>
          </w:p>
        </w:tc>
        <w:tc>
          <w:tcPr>
            <w:tcW w:w="1230"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ne</w:t>
            </w:r>
          </w:p>
        </w:tc>
        <w:tc>
          <w:tcPr>
            <w:tcW w:w="1605" w:type="dxa"/>
            <w:noWrap/>
            <w:vAlign w:val="center"/>
            <w:hideMark/>
          </w:tcPr>
          <w:p w:rsidR="00D6513E" w:rsidRPr="00BD42A8" w:rsidRDefault="00D6513E" w:rsidP="001A318C">
            <w:pPr>
              <w:spacing w:line="276" w:lineRule="auto"/>
              <w:jc w:val="center"/>
              <w:cnfStyle w:val="000000000000"/>
              <w:rPr>
                <w:color w:val="FF0000"/>
                <w:sz w:val="24"/>
              </w:rPr>
            </w:pPr>
            <w:r w:rsidRPr="00BD42A8">
              <w:rPr>
                <w:color w:val="FF0000"/>
                <w:sz w:val="24"/>
              </w:rPr>
              <w:t>126 256,27</w:t>
            </w:r>
          </w:p>
        </w:tc>
      </w:tr>
      <w:tr w:rsidR="00D6513E" w:rsidRPr="00D7640B" w:rsidTr="001433CF">
        <w:trPr>
          <w:cnfStyle w:val="000000100000"/>
          <w:trHeight w:val="300"/>
          <w:jc w:val="center"/>
        </w:trPr>
        <w:tc>
          <w:tcPr>
            <w:cnfStyle w:val="001000000000"/>
            <w:tcW w:w="1247" w:type="dxa"/>
            <w:shd w:val="clear" w:color="auto" w:fill="D9D9D9" w:themeFill="background1" w:themeFillShade="D9"/>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2.</w:t>
            </w:r>
            <w:r>
              <w:rPr>
                <w:b w:val="0"/>
                <w:color w:val="000000"/>
                <w:sz w:val="24"/>
                <w:lang w:eastAsia="cs-CZ"/>
              </w:rPr>
              <w:t xml:space="preserve"> </w:t>
            </w:r>
            <w:r w:rsidRPr="00D7640B">
              <w:rPr>
                <w:b w:val="0"/>
                <w:color w:val="000000"/>
                <w:sz w:val="24"/>
                <w:lang w:eastAsia="cs-CZ"/>
              </w:rPr>
              <w:t>2015</w:t>
            </w:r>
          </w:p>
        </w:tc>
        <w:tc>
          <w:tcPr>
            <w:tcW w:w="1129"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1,0327</w:t>
            </w:r>
          </w:p>
        </w:tc>
        <w:tc>
          <w:tcPr>
            <w:tcW w:w="1706"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103 273,78</w:t>
            </w:r>
          </w:p>
        </w:tc>
        <w:tc>
          <w:tcPr>
            <w:tcW w:w="1838"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133 976,42</w:t>
            </w:r>
          </w:p>
        </w:tc>
        <w:tc>
          <w:tcPr>
            <w:tcW w:w="1230"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ano</w:t>
            </w:r>
          </w:p>
        </w:tc>
        <w:tc>
          <w:tcPr>
            <w:tcW w:w="1605" w:type="dxa"/>
            <w:shd w:val="clear" w:color="auto" w:fill="D9D9D9" w:themeFill="background1" w:themeFillShade="D9"/>
            <w:noWrap/>
            <w:vAlign w:val="center"/>
            <w:hideMark/>
          </w:tcPr>
          <w:p w:rsidR="00D6513E" w:rsidRPr="00BD42A8" w:rsidRDefault="00D6513E" w:rsidP="001A318C">
            <w:pPr>
              <w:spacing w:line="276" w:lineRule="auto"/>
              <w:jc w:val="center"/>
              <w:cnfStyle w:val="000000100000"/>
              <w:rPr>
                <w:color w:val="000000"/>
                <w:sz w:val="24"/>
              </w:rPr>
            </w:pPr>
            <w:r w:rsidRPr="00BD42A8">
              <w:rPr>
                <w:color w:val="000000"/>
                <w:sz w:val="24"/>
              </w:rPr>
              <w:t>122 832,62</w:t>
            </w:r>
          </w:p>
        </w:tc>
      </w:tr>
      <w:tr w:rsidR="00D6513E" w:rsidRPr="00D7640B" w:rsidTr="001A318C">
        <w:trPr>
          <w:trHeight w:val="300"/>
          <w:jc w:val="center"/>
        </w:trPr>
        <w:tc>
          <w:tcPr>
            <w:cnfStyle w:val="001000000000"/>
            <w:tcW w:w="1247" w:type="dxa"/>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8.</w:t>
            </w:r>
            <w:r>
              <w:rPr>
                <w:b w:val="0"/>
                <w:color w:val="000000"/>
                <w:sz w:val="24"/>
                <w:lang w:eastAsia="cs-CZ"/>
              </w:rPr>
              <w:t xml:space="preserve"> </w:t>
            </w:r>
            <w:r w:rsidRPr="00D7640B">
              <w:rPr>
                <w:b w:val="0"/>
                <w:color w:val="000000"/>
                <w:sz w:val="24"/>
                <w:lang w:eastAsia="cs-CZ"/>
              </w:rPr>
              <w:t>2015</w:t>
            </w:r>
          </w:p>
        </w:tc>
        <w:tc>
          <w:tcPr>
            <w:tcW w:w="1129"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1,0033</w:t>
            </w:r>
          </w:p>
        </w:tc>
        <w:tc>
          <w:tcPr>
            <w:tcW w:w="1706"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100 331,09</w:t>
            </w:r>
          </w:p>
        </w:tc>
        <w:tc>
          <w:tcPr>
            <w:tcW w:w="1838"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133 976,42</w:t>
            </w:r>
          </w:p>
        </w:tc>
        <w:tc>
          <w:tcPr>
            <w:tcW w:w="1230"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ano</w:t>
            </w:r>
          </w:p>
        </w:tc>
        <w:tc>
          <w:tcPr>
            <w:tcW w:w="1605" w:type="dxa"/>
            <w:noWrap/>
            <w:vAlign w:val="center"/>
            <w:hideMark/>
          </w:tcPr>
          <w:p w:rsidR="00D6513E" w:rsidRPr="00BD42A8" w:rsidRDefault="00D6513E" w:rsidP="001A318C">
            <w:pPr>
              <w:spacing w:line="276" w:lineRule="auto"/>
              <w:jc w:val="center"/>
              <w:cnfStyle w:val="000000000000"/>
              <w:rPr>
                <w:color w:val="000000"/>
                <w:sz w:val="24"/>
              </w:rPr>
            </w:pPr>
            <w:r w:rsidRPr="00BD42A8">
              <w:rPr>
                <w:color w:val="000000"/>
                <w:sz w:val="24"/>
              </w:rPr>
              <w:t>121 561,68</w:t>
            </w:r>
          </w:p>
        </w:tc>
      </w:tr>
      <w:tr w:rsidR="00D6513E" w:rsidRPr="00D7640B" w:rsidTr="001433CF">
        <w:trPr>
          <w:cnfStyle w:val="000000100000"/>
          <w:trHeight w:val="300"/>
          <w:jc w:val="center"/>
        </w:trPr>
        <w:tc>
          <w:tcPr>
            <w:cnfStyle w:val="001000000000"/>
            <w:tcW w:w="1247" w:type="dxa"/>
            <w:shd w:val="clear" w:color="auto" w:fill="D9D9D9" w:themeFill="background1" w:themeFillShade="D9"/>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2.</w:t>
            </w:r>
            <w:r>
              <w:rPr>
                <w:b w:val="0"/>
                <w:color w:val="000000"/>
                <w:sz w:val="24"/>
                <w:lang w:eastAsia="cs-CZ"/>
              </w:rPr>
              <w:t xml:space="preserve"> </w:t>
            </w:r>
            <w:r w:rsidRPr="00D7640B">
              <w:rPr>
                <w:b w:val="0"/>
                <w:color w:val="000000"/>
                <w:sz w:val="24"/>
                <w:lang w:eastAsia="cs-CZ"/>
              </w:rPr>
              <w:t>2016</w:t>
            </w:r>
          </w:p>
        </w:tc>
        <w:tc>
          <w:tcPr>
            <w:tcW w:w="1129"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1,2013</w:t>
            </w:r>
          </w:p>
        </w:tc>
        <w:tc>
          <w:tcPr>
            <w:tcW w:w="1706"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120 134,55</w:t>
            </w:r>
          </w:p>
        </w:tc>
        <w:tc>
          <w:tcPr>
            <w:tcW w:w="1838"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133 976,42</w:t>
            </w:r>
          </w:p>
        </w:tc>
        <w:tc>
          <w:tcPr>
            <w:tcW w:w="1230"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ano</w:t>
            </w:r>
          </w:p>
        </w:tc>
        <w:tc>
          <w:tcPr>
            <w:tcW w:w="1605" w:type="dxa"/>
            <w:shd w:val="clear" w:color="auto" w:fill="D9D9D9" w:themeFill="background1" w:themeFillShade="D9"/>
            <w:noWrap/>
            <w:vAlign w:val="center"/>
            <w:hideMark/>
          </w:tcPr>
          <w:p w:rsidR="00D6513E" w:rsidRPr="00BD42A8" w:rsidRDefault="00D6513E" w:rsidP="001A318C">
            <w:pPr>
              <w:spacing w:line="276" w:lineRule="auto"/>
              <w:jc w:val="center"/>
              <w:cnfStyle w:val="000000100000"/>
              <w:rPr>
                <w:color w:val="000000"/>
                <w:sz w:val="24"/>
              </w:rPr>
            </w:pPr>
            <w:r w:rsidRPr="00BD42A8">
              <w:rPr>
                <w:color w:val="000000"/>
                <w:sz w:val="24"/>
              </w:rPr>
              <w:t>120 423,65</w:t>
            </w:r>
          </w:p>
        </w:tc>
      </w:tr>
      <w:tr w:rsidR="00D6513E" w:rsidRPr="00D7640B" w:rsidTr="001A318C">
        <w:trPr>
          <w:trHeight w:val="300"/>
          <w:jc w:val="center"/>
        </w:trPr>
        <w:tc>
          <w:tcPr>
            <w:cnfStyle w:val="001000000000"/>
            <w:tcW w:w="1247" w:type="dxa"/>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8.</w:t>
            </w:r>
            <w:r>
              <w:rPr>
                <w:b w:val="0"/>
                <w:color w:val="000000"/>
                <w:sz w:val="24"/>
                <w:lang w:eastAsia="cs-CZ"/>
              </w:rPr>
              <w:t xml:space="preserve"> </w:t>
            </w:r>
            <w:r w:rsidRPr="00D7640B">
              <w:rPr>
                <w:b w:val="0"/>
                <w:color w:val="000000"/>
                <w:sz w:val="24"/>
                <w:lang w:eastAsia="cs-CZ"/>
              </w:rPr>
              <w:t>2016</w:t>
            </w:r>
          </w:p>
        </w:tc>
        <w:tc>
          <w:tcPr>
            <w:tcW w:w="1129"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1,2396</w:t>
            </w:r>
          </w:p>
        </w:tc>
        <w:tc>
          <w:tcPr>
            <w:tcW w:w="1706"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123 961,82</w:t>
            </w:r>
          </w:p>
        </w:tc>
        <w:tc>
          <w:tcPr>
            <w:tcW w:w="1838"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133 976,42</w:t>
            </w:r>
          </w:p>
        </w:tc>
        <w:tc>
          <w:tcPr>
            <w:tcW w:w="1230"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ano</w:t>
            </w:r>
          </w:p>
        </w:tc>
        <w:tc>
          <w:tcPr>
            <w:tcW w:w="1605" w:type="dxa"/>
            <w:noWrap/>
            <w:vAlign w:val="center"/>
            <w:hideMark/>
          </w:tcPr>
          <w:p w:rsidR="00D6513E" w:rsidRPr="00BD42A8" w:rsidRDefault="00D6513E" w:rsidP="001A318C">
            <w:pPr>
              <w:spacing w:line="276" w:lineRule="auto"/>
              <w:jc w:val="center"/>
              <w:cnfStyle w:val="000000000000"/>
              <w:rPr>
                <w:color w:val="FF0000"/>
                <w:sz w:val="24"/>
              </w:rPr>
            </w:pPr>
            <w:r w:rsidRPr="00BD42A8">
              <w:rPr>
                <w:color w:val="FF0000"/>
                <w:sz w:val="24"/>
              </w:rPr>
              <w:t>119 387,06</w:t>
            </w:r>
          </w:p>
        </w:tc>
      </w:tr>
      <w:tr w:rsidR="00D6513E" w:rsidRPr="00D7640B" w:rsidTr="001433CF">
        <w:trPr>
          <w:cnfStyle w:val="000000100000"/>
          <w:trHeight w:val="300"/>
          <w:jc w:val="center"/>
        </w:trPr>
        <w:tc>
          <w:tcPr>
            <w:cnfStyle w:val="001000000000"/>
            <w:tcW w:w="1247" w:type="dxa"/>
            <w:shd w:val="clear" w:color="auto" w:fill="D9D9D9" w:themeFill="background1" w:themeFillShade="D9"/>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2.</w:t>
            </w:r>
            <w:r>
              <w:rPr>
                <w:b w:val="0"/>
                <w:color w:val="000000"/>
                <w:sz w:val="24"/>
                <w:lang w:eastAsia="cs-CZ"/>
              </w:rPr>
              <w:t xml:space="preserve"> </w:t>
            </w:r>
            <w:r w:rsidRPr="00D7640B">
              <w:rPr>
                <w:b w:val="0"/>
                <w:color w:val="000000"/>
                <w:sz w:val="24"/>
                <w:lang w:eastAsia="cs-CZ"/>
              </w:rPr>
              <w:t>2017</w:t>
            </w:r>
          </w:p>
        </w:tc>
        <w:tc>
          <w:tcPr>
            <w:tcW w:w="1129"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1,2775</w:t>
            </w:r>
          </w:p>
        </w:tc>
        <w:tc>
          <w:tcPr>
            <w:tcW w:w="1706"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127 746,55</w:t>
            </w:r>
          </w:p>
        </w:tc>
        <w:tc>
          <w:tcPr>
            <w:tcW w:w="1838"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133 976,42</w:t>
            </w:r>
          </w:p>
        </w:tc>
        <w:tc>
          <w:tcPr>
            <w:tcW w:w="1230"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ano</w:t>
            </w:r>
          </w:p>
        </w:tc>
        <w:tc>
          <w:tcPr>
            <w:tcW w:w="1605" w:type="dxa"/>
            <w:shd w:val="clear" w:color="auto" w:fill="D9D9D9" w:themeFill="background1" w:themeFillShade="D9"/>
            <w:noWrap/>
            <w:vAlign w:val="center"/>
            <w:hideMark/>
          </w:tcPr>
          <w:p w:rsidR="00D6513E" w:rsidRPr="00BD42A8" w:rsidRDefault="00D6513E" w:rsidP="001A318C">
            <w:pPr>
              <w:spacing w:line="276" w:lineRule="auto"/>
              <w:jc w:val="center"/>
              <w:cnfStyle w:val="000000100000"/>
              <w:rPr>
                <w:color w:val="FF0000"/>
                <w:sz w:val="24"/>
              </w:rPr>
            </w:pPr>
            <w:r w:rsidRPr="00BD42A8">
              <w:rPr>
                <w:color w:val="FF0000"/>
                <w:sz w:val="24"/>
              </w:rPr>
              <w:t>118 431,33</w:t>
            </w:r>
          </w:p>
        </w:tc>
      </w:tr>
      <w:tr w:rsidR="00D6513E" w:rsidRPr="00D7640B" w:rsidTr="001A318C">
        <w:trPr>
          <w:trHeight w:val="300"/>
          <w:jc w:val="center"/>
        </w:trPr>
        <w:tc>
          <w:tcPr>
            <w:cnfStyle w:val="001000000000"/>
            <w:tcW w:w="1247" w:type="dxa"/>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8.</w:t>
            </w:r>
            <w:r>
              <w:rPr>
                <w:b w:val="0"/>
                <w:color w:val="000000"/>
                <w:sz w:val="24"/>
                <w:lang w:eastAsia="cs-CZ"/>
              </w:rPr>
              <w:t xml:space="preserve"> </w:t>
            </w:r>
            <w:r w:rsidRPr="00D7640B">
              <w:rPr>
                <w:b w:val="0"/>
                <w:color w:val="000000"/>
                <w:sz w:val="24"/>
                <w:lang w:eastAsia="cs-CZ"/>
              </w:rPr>
              <w:t>2017</w:t>
            </w:r>
          </w:p>
        </w:tc>
        <w:tc>
          <w:tcPr>
            <w:tcW w:w="1129"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1,3761</w:t>
            </w:r>
          </w:p>
        </w:tc>
        <w:tc>
          <w:tcPr>
            <w:tcW w:w="1706"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137 608,37</w:t>
            </w:r>
          </w:p>
        </w:tc>
        <w:tc>
          <w:tcPr>
            <w:tcW w:w="1838"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sidRPr="00D7640B">
              <w:rPr>
                <w:color w:val="000000"/>
                <w:sz w:val="24"/>
                <w:szCs w:val="24"/>
                <w:lang w:eastAsia="cs-CZ"/>
              </w:rPr>
              <w:t>133 976,42</w:t>
            </w:r>
          </w:p>
        </w:tc>
        <w:tc>
          <w:tcPr>
            <w:tcW w:w="1230" w:type="dxa"/>
            <w:noWrap/>
            <w:vAlign w:val="center"/>
            <w:hideMark/>
          </w:tcPr>
          <w:p w:rsidR="00D6513E" w:rsidRPr="00D7640B" w:rsidRDefault="00D6513E" w:rsidP="001A318C">
            <w:pPr>
              <w:spacing w:line="276" w:lineRule="auto"/>
              <w:jc w:val="center"/>
              <w:cnfStyle w:val="000000000000"/>
              <w:rPr>
                <w:color w:val="000000"/>
                <w:sz w:val="24"/>
                <w:szCs w:val="24"/>
                <w:lang w:eastAsia="cs-CZ"/>
              </w:rPr>
            </w:pPr>
            <w:r>
              <w:rPr>
                <w:color w:val="000000"/>
                <w:sz w:val="24"/>
                <w:szCs w:val="24"/>
                <w:lang w:eastAsia="cs-CZ"/>
              </w:rPr>
              <w:t>ne</w:t>
            </w:r>
          </w:p>
        </w:tc>
        <w:tc>
          <w:tcPr>
            <w:tcW w:w="1605" w:type="dxa"/>
            <w:noWrap/>
            <w:vAlign w:val="center"/>
            <w:hideMark/>
          </w:tcPr>
          <w:p w:rsidR="00D6513E" w:rsidRPr="00BD42A8" w:rsidRDefault="00D6513E" w:rsidP="001A318C">
            <w:pPr>
              <w:spacing w:line="276" w:lineRule="auto"/>
              <w:jc w:val="center"/>
              <w:cnfStyle w:val="000000000000"/>
              <w:rPr>
                <w:color w:val="FF0000"/>
                <w:sz w:val="24"/>
              </w:rPr>
            </w:pPr>
            <w:r w:rsidRPr="00BD42A8">
              <w:rPr>
                <w:color w:val="FF0000"/>
                <w:sz w:val="24"/>
              </w:rPr>
              <w:t>117 542,14</w:t>
            </w:r>
          </w:p>
        </w:tc>
      </w:tr>
      <w:tr w:rsidR="00D6513E" w:rsidRPr="00D7640B" w:rsidTr="001433CF">
        <w:trPr>
          <w:cnfStyle w:val="000000100000"/>
          <w:trHeight w:val="300"/>
          <w:jc w:val="center"/>
        </w:trPr>
        <w:tc>
          <w:tcPr>
            <w:cnfStyle w:val="001000000000"/>
            <w:tcW w:w="1247" w:type="dxa"/>
            <w:shd w:val="clear" w:color="auto" w:fill="D9D9D9" w:themeFill="background1" w:themeFillShade="D9"/>
            <w:noWrap/>
            <w:vAlign w:val="center"/>
            <w:hideMark/>
          </w:tcPr>
          <w:p w:rsidR="00D6513E" w:rsidRPr="00D7640B" w:rsidRDefault="00D6513E" w:rsidP="001A318C">
            <w:pPr>
              <w:spacing w:line="276" w:lineRule="auto"/>
              <w:jc w:val="center"/>
              <w:rPr>
                <w:b w:val="0"/>
                <w:color w:val="000000"/>
                <w:sz w:val="24"/>
                <w:lang w:eastAsia="cs-CZ"/>
              </w:rPr>
            </w:pPr>
            <w:r w:rsidRPr="00D7640B">
              <w:rPr>
                <w:b w:val="0"/>
                <w:color w:val="000000"/>
                <w:sz w:val="24"/>
                <w:lang w:eastAsia="cs-CZ"/>
              </w:rPr>
              <w:t>7.</w:t>
            </w:r>
            <w:r>
              <w:rPr>
                <w:b w:val="0"/>
                <w:color w:val="000000"/>
                <w:sz w:val="24"/>
                <w:lang w:eastAsia="cs-CZ"/>
              </w:rPr>
              <w:t xml:space="preserve"> </w:t>
            </w:r>
            <w:r w:rsidRPr="00D7640B">
              <w:rPr>
                <w:b w:val="0"/>
                <w:color w:val="000000"/>
                <w:sz w:val="24"/>
                <w:lang w:eastAsia="cs-CZ"/>
              </w:rPr>
              <w:t>2.</w:t>
            </w:r>
            <w:r>
              <w:rPr>
                <w:b w:val="0"/>
                <w:color w:val="000000"/>
                <w:sz w:val="24"/>
                <w:lang w:eastAsia="cs-CZ"/>
              </w:rPr>
              <w:t xml:space="preserve"> </w:t>
            </w:r>
            <w:r w:rsidRPr="00D7640B">
              <w:rPr>
                <w:b w:val="0"/>
                <w:color w:val="000000"/>
                <w:sz w:val="24"/>
                <w:lang w:eastAsia="cs-CZ"/>
              </w:rPr>
              <w:t>2018</w:t>
            </w:r>
          </w:p>
        </w:tc>
        <w:tc>
          <w:tcPr>
            <w:tcW w:w="1129"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1,5461</w:t>
            </w:r>
          </w:p>
        </w:tc>
        <w:tc>
          <w:tcPr>
            <w:tcW w:w="1706"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154 607,30</w:t>
            </w:r>
          </w:p>
        </w:tc>
        <w:tc>
          <w:tcPr>
            <w:tcW w:w="1838"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133 976,42</w:t>
            </w:r>
          </w:p>
        </w:tc>
        <w:tc>
          <w:tcPr>
            <w:tcW w:w="1230" w:type="dxa"/>
            <w:shd w:val="clear" w:color="auto" w:fill="D9D9D9" w:themeFill="background1" w:themeFillShade="D9"/>
            <w:noWrap/>
            <w:vAlign w:val="center"/>
            <w:hideMark/>
          </w:tcPr>
          <w:p w:rsidR="00D6513E" w:rsidRPr="00D7640B" w:rsidRDefault="00D6513E" w:rsidP="001A318C">
            <w:pPr>
              <w:spacing w:line="276" w:lineRule="auto"/>
              <w:jc w:val="center"/>
              <w:cnfStyle w:val="000000100000"/>
              <w:rPr>
                <w:color w:val="000000"/>
                <w:sz w:val="24"/>
                <w:szCs w:val="24"/>
                <w:lang w:eastAsia="cs-CZ"/>
              </w:rPr>
            </w:pPr>
            <w:r w:rsidRPr="00D7640B">
              <w:rPr>
                <w:color w:val="000000"/>
                <w:sz w:val="24"/>
                <w:szCs w:val="24"/>
                <w:lang w:eastAsia="cs-CZ"/>
              </w:rPr>
              <w:t>ne</w:t>
            </w:r>
          </w:p>
        </w:tc>
        <w:tc>
          <w:tcPr>
            <w:tcW w:w="1605" w:type="dxa"/>
            <w:shd w:val="clear" w:color="auto" w:fill="D9D9D9" w:themeFill="background1" w:themeFillShade="D9"/>
            <w:noWrap/>
            <w:vAlign w:val="center"/>
            <w:hideMark/>
          </w:tcPr>
          <w:p w:rsidR="00D6513E" w:rsidRPr="00BD42A8" w:rsidRDefault="00D6513E" w:rsidP="001A318C">
            <w:pPr>
              <w:spacing w:line="276" w:lineRule="auto"/>
              <w:jc w:val="center"/>
              <w:cnfStyle w:val="000000100000"/>
              <w:rPr>
                <w:color w:val="FF0000"/>
                <w:sz w:val="24"/>
              </w:rPr>
            </w:pPr>
            <w:r w:rsidRPr="00BD42A8">
              <w:rPr>
                <w:color w:val="FF0000"/>
                <w:sz w:val="24"/>
              </w:rPr>
              <w:t>137 339,88</w:t>
            </w:r>
          </w:p>
        </w:tc>
      </w:tr>
      <w:tr w:rsidR="00D6513E" w:rsidRPr="00D7640B" w:rsidTr="001A318C">
        <w:trPr>
          <w:cnfStyle w:val="010000000000"/>
          <w:trHeight w:val="300"/>
          <w:jc w:val="center"/>
        </w:trPr>
        <w:tc>
          <w:tcPr>
            <w:cnfStyle w:val="001000000000"/>
            <w:tcW w:w="1247" w:type="dxa"/>
            <w:noWrap/>
            <w:vAlign w:val="center"/>
            <w:hideMark/>
          </w:tcPr>
          <w:p w:rsidR="00D6513E" w:rsidRPr="00D7640B" w:rsidRDefault="00D6513E" w:rsidP="001A318C">
            <w:pPr>
              <w:spacing w:line="276" w:lineRule="auto"/>
              <w:jc w:val="center"/>
              <w:rPr>
                <w:b w:val="0"/>
                <w:color w:val="000000"/>
                <w:lang w:eastAsia="cs-CZ"/>
              </w:rPr>
            </w:pPr>
          </w:p>
        </w:tc>
        <w:tc>
          <w:tcPr>
            <w:tcW w:w="1129" w:type="dxa"/>
            <w:noWrap/>
            <w:vAlign w:val="center"/>
            <w:hideMark/>
          </w:tcPr>
          <w:p w:rsidR="00D6513E" w:rsidRPr="00D7640B" w:rsidRDefault="00D6513E" w:rsidP="001A318C">
            <w:pPr>
              <w:spacing w:line="276" w:lineRule="auto"/>
              <w:jc w:val="center"/>
              <w:cnfStyle w:val="010000000000"/>
              <w:rPr>
                <w:color w:val="000000"/>
                <w:szCs w:val="24"/>
                <w:lang w:eastAsia="cs-CZ"/>
              </w:rPr>
            </w:pPr>
          </w:p>
        </w:tc>
        <w:tc>
          <w:tcPr>
            <w:tcW w:w="1706" w:type="dxa"/>
            <w:noWrap/>
            <w:vAlign w:val="center"/>
            <w:hideMark/>
          </w:tcPr>
          <w:p w:rsidR="00D6513E" w:rsidRPr="00D7640B" w:rsidRDefault="00D6513E" w:rsidP="001A318C">
            <w:pPr>
              <w:spacing w:line="276" w:lineRule="auto"/>
              <w:jc w:val="center"/>
              <w:cnfStyle w:val="010000000000"/>
              <w:rPr>
                <w:color w:val="000000"/>
                <w:szCs w:val="24"/>
                <w:lang w:eastAsia="cs-CZ"/>
              </w:rPr>
            </w:pPr>
          </w:p>
        </w:tc>
        <w:tc>
          <w:tcPr>
            <w:tcW w:w="1838" w:type="dxa"/>
            <w:noWrap/>
            <w:vAlign w:val="center"/>
            <w:hideMark/>
          </w:tcPr>
          <w:p w:rsidR="00D6513E" w:rsidRPr="00D7640B" w:rsidRDefault="00D6513E" w:rsidP="001A318C">
            <w:pPr>
              <w:spacing w:line="276" w:lineRule="auto"/>
              <w:jc w:val="center"/>
              <w:cnfStyle w:val="010000000000"/>
              <w:rPr>
                <w:color w:val="000000"/>
                <w:szCs w:val="24"/>
                <w:lang w:eastAsia="cs-CZ"/>
              </w:rPr>
            </w:pPr>
          </w:p>
        </w:tc>
        <w:tc>
          <w:tcPr>
            <w:tcW w:w="1230" w:type="dxa"/>
            <w:noWrap/>
            <w:vAlign w:val="center"/>
            <w:hideMark/>
          </w:tcPr>
          <w:p w:rsidR="00D6513E" w:rsidRPr="00D7640B" w:rsidRDefault="00D6513E" w:rsidP="001A318C">
            <w:pPr>
              <w:spacing w:line="276" w:lineRule="auto"/>
              <w:jc w:val="center"/>
              <w:cnfStyle w:val="010000000000"/>
              <w:rPr>
                <w:color w:val="000000"/>
                <w:szCs w:val="24"/>
                <w:lang w:eastAsia="cs-CZ"/>
              </w:rPr>
            </w:pPr>
          </w:p>
        </w:tc>
        <w:tc>
          <w:tcPr>
            <w:tcW w:w="1605" w:type="dxa"/>
            <w:noWrap/>
            <w:vAlign w:val="center"/>
            <w:hideMark/>
          </w:tcPr>
          <w:p w:rsidR="00D6513E" w:rsidRPr="00BD42A8" w:rsidRDefault="00D6513E" w:rsidP="001A318C">
            <w:pPr>
              <w:spacing w:line="276" w:lineRule="auto"/>
              <w:jc w:val="center"/>
              <w:cnfStyle w:val="010000000000"/>
              <w:rPr>
                <w:bCs w:val="0"/>
                <w:color w:val="000000"/>
                <w:sz w:val="24"/>
              </w:rPr>
            </w:pPr>
            <w:r w:rsidRPr="00BD42A8">
              <w:rPr>
                <w:bCs w:val="0"/>
                <w:color w:val="000000"/>
                <w:sz w:val="24"/>
              </w:rPr>
              <w:t>1 238 142,17</w:t>
            </w:r>
          </w:p>
        </w:tc>
      </w:tr>
    </w:tbl>
    <w:p w:rsidR="00DD70E2" w:rsidRDefault="001A318C" w:rsidP="00DD70E2">
      <w:pPr>
        <w:spacing w:before="240" w:line="276" w:lineRule="auto"/>
        <w:jc w:val="both"/>
        <w:rPr>
          <w:rFonts w:eastAsiaTheme="minorEastAsia"/>
          <w:i/>
          <w:sz w:val="20"/>
        </w:rPr>
      </w:pPr>
      <w:r>
        <w:rPr>
          <w:rFonts w:eastAsiaTheme="minorEastAsia"/>
          <w:i/>
          <w:sz w:val="20"/>
        </w:rPr>
        <w:t xml:space="preserve">Pramen: Vlastní zpracování. </w:t>
      </w:r>
    </w:p>
    <w:p w:rsidR="00D6513E" w:rsidRPr="001A318C" w:rsidRDefault="00DD70E2" w:rsidP="00DD70E2">
      <w:pPr>
        <w:spacing w:line="276" w:lineRule="auto"/>
        <w:jc w:val="both"/>
        <w:rPr>
          <w:rFonts w:eastAsiaTheme="minorEastAsia"/>
          <w:i/>
          <w:sz w:val="20"/>
        </w:rPr>
      </w:pPr>
      <w:r>
        <w:rPr>
          <w:rFonts w:eastAsiaTheme="minorEastAsia"/>
          <w:i/>
          <w:sz w:val="20"/>
        </w:rPr>
        <w:t xml:space="preserve">Měnový kurz </w:t>
      </w:r>
      <w:r w:rsidR="001A318C">
        <w:rPr>
          <w:rFonts w:eastAsiaTheme="minorEastAsia"/>
          <w:i/>
          <w:sz w:val="20"/>
        </w:rPr>
        <w:t>uveden v USD/EUR,</w:t>
      </w:r>
      <w:r>
        <w:rPr>
          <w:rFonts w:eastAsiaTheme="minorEastAsia"/>
          <w:i/>
          <w:sz w:val="20"/>
        </w:rPr>
        <w:t xml:space="preserve"> platby uvedeny v dolarech.</w:t>
      </w:r>
    </w:p>
    <w:p w:rsidR="00D6513E" w:rsidRDefault="00D6513E" w:rsidP="00D6513E">
      <w:pPr>
        <w:spacing w:after="240" w:line="276" w:lineRule="auto"/>
        <w:jc w:val="both"/>
        <w:rPr>
          <w:rFonts w:eastAsiaTheme="minorEastAsia"/>
        </w:rPr>
      </w:pPr>
      <w:r>
        <w:rPr>
          <w:rFonts w:eastAsiaTheme="minorEastAsia"/>
        </w:rPr>
        <w:lastRenderedPageBreak/>
        <w:t xml:space="preserve">V Tabulce </w:t>
      </w:r>
      <w:r w:rsidR="001A318C">
        <w:rPr>
          <w:rFonts w:eastAsiaTheme="minorEastAsia"/>
        </w:rPr>
        <w:t>14</w:t>
      </w:r>
      <w:r>
        <w:rPr>
          <w:rFonts w:eastAsiaTheme="minorEastAsia"/>
        </w:rPr>
        <w:t xml:space="preserve"> jsou uvedeny výsle</w:t>
      </w:r>
      <w:r w:rsidR="001A318C">
        <w:rPr>
          <w:rFonts w:eastAsiaTheme="minorEastAsia"/>
        </w:rPr>
        <w:t>dky pro realizaci směny 100 000 </w:t>
      </w:r>
      <w:r w:rsidR="00447807">
        <w:rPr>
          <w:rFonts w:eastAsiaTheme="minorEastAsia"/>
        </w:rPr>
        <w:t>EUR</w:t>
      </w:r>
      <w:r>
        <w:rPr>
          <w:rFonts w:eastAsiaTheme="minorEastAsia"/>
        </w:rPr>
        <w:t xml:space="preserve"> na spotovém trhu a</w:t>
      </w:r>
      <w:r w:rsidR="001A318C">
        <w:rPr>
          <w:rFonts w:eastAsiaTheme="minorEastAsia"/>
        </w:rPr>
        <w:t> </w:t>
      </w:r>
      <w:r>
        <w:rPr>
          <w:rFonts w:eastAsiaTheme="minorEastAsia"/>
        </w:rPr>
        <w:t>prostřednictvím put opcí. Porovnáním těchto dvou hodnot, respektive porovnáním spotového měnového kurzu a realizační ceny se společnost rozhodne, zda opci uplatnit či</w:t>
      </w:r>
      <w:r w:rsidR="001A318C">
        <w:rPr>
          <w:rFonts w:eastAsiaTheme="minorEastAsia"/>
        </w:rPr>
        <w:t> </w:t>
      </w:r>
      <w:r>
        <w:rPr>
          <w:rFonts w:eastAsiaTheme="minorEastAsia"/>
        </w:rPr>
        <w:t>nikoli. Jak je výše vidno, společnost opci neuplat</w:t>
      </w:r>
      <w:r w:rsidR="00306791">
        <w:rPr>
          <w:rFonts w:eastAsiaTheme="minorEastAsia"/>
        </w:rPr>
        <w:t>ní ve třech případech. To ovšem</w:t>
      </w:r>
      <w:r>
        <w:rPr>
          <w:rFonts w:eastAsiaTheme="minorEastAsia"/>
        </w:rPr>
        <w:t xml:space="preserve"> nevypovídá o celkové výhodnosti sjednání opcí a „zisku“ společnosti. </w:t>
      </w:r>
      <w:r w:rsidR="001A318C">
        <w:rPr>
          <w:rFonts w:eastAsiaTheme="minorEastAsia"/>
        </w:rPr>
        <w:t xml:space="preserve">Pro konečnou výslednou hodnotu reálně inkasované částky je v případě uplatnění opce </w:t>
      </w:r>
      <w:r>
        <w:rPr>
          <w:rFonts w:eastAsiaTheme="minorEastAsia"/>
        </w:rPr>
        <w:t xml:space="preserve">nutno vypočíst rozdíl mezi realizační cenou a opční prémií (opční prémie jsou uvedeny v Tabulce </w:t>
      </w:r>
      <w:r w:rsidR="001A318C">
        <w:rPr>
          <w:rFonts w:eastAsiaTheme="minorEastAsia"/>
        </w:rPr>
        <w:t>13</w:t>
      </w:r>
      <w:r>
        <w:rPr>
          <w:rFonts w:eastAsiaTheme="minorEastAsia"/>
        </w:rPr>
        <w:t xml:space="preserve">). Pokud nedojde k uplatnění opce, </w:t>
      </w:r>
      <w:r w:rsidR="00306791">
        <w:rPr>
          <w:rFonts w:eastAsiaTheme="minorEastAsia"/>
        </w:rPr>
        <w:t>počítá se</w:t>
      </w:r>
      <w:r>
        <w:rPr>
          <w:rFonts w:eastAsiaTheme="minorEastAsia"/>
        </w:rPr>
        <w:t xml:space="preserve"> rozdíl mezi hodnotou získanou na spotovém trhu a</w:t>
      </w:r>
      <w:r w:rsidR="00A05CDB">
        <w:rPr>
          <w:rFonts w:eastAsiaTheme="minorEastAsia"/>
        </w:rPr>
        <w:t> </w:t>
      </w:r>
      <w:r>
        <w:rPr>
          <w:rFonts w:eastAsiaTheme="minorEastAsia"/>
        </w:rPr>
        <w:t xml:space="preserve">zaplacenou opční prémií. Tyto rozdíly jsou zobrazeny v posledním sloupci Tabulky </w:t>
      </w:r>
      <w:r w:rsidR="00A05CDB">
        <w:rPr>
          <w:rFonts w:eastAsiaTheme="minorEastAsia"/>
        </w:rPr>
        <w:t>14</w:t>
      </w:r>
      <w:r>
        <w:rPr>
          <w:rFonts w:eastAsiaTheme="minorEastAsia"/>
        </w:rPr>
        <w:t xml:space="preserve">. Hodnoty zde uvedené </w:t>
      </w:r>
      <w:r w:rsidR="00306791">
        <w:rPr>
          <w:rFonts w:eastAsiaTheme="minorEastAsia"/>
        </w:rPr>
        <w:t xml:space="preserve">je </w:t>
      </w:r>
      <w:r>
        <w:rPr>
          <w:rFonts w:eastAsiaTheme="minorEastAsia"/>
        </w:rPr>
        <w:t xml:space="preserve">nakonec </w:t>
      </w:r>
      <w:r w:rsidR="00306791">
        <w:rPr>
          <w:rFonts w:eastAsiaTheme="minorEastAsia"/>
        </w:rPr>
        <w:t>třeba porovnat</w:t>
      </w:r>
      <w:r>
        <w:rPr>
          <w:rFonts w:eastAsiaTheme="minorEastAsia"/>
        </w:rPr>
        <w:t xml:space="preserve"> s obnosy, které by</w:t>
      </w:r>
      <w:r w:rsidR="00306791">
        <w:rPr>
          <w:rFonts w:eastAsiaTheme="minorEastAsia"/>
        </w:rPr>
        <w:t xml:space="preserve"> společnost Delor</w:t>
      </w:r>
      <w:r>
        <w:rPr>
          <w:rFonts w:eastAsiaTheme="minorEastAsia"/>
        </w:rPr>
        <w:t xml:space="preserve"> </w:t>
      </w:r>
      <w:r w:rsidR="00A05CDB">
        <w:rPr>
          <w:rFonts w:eastAsiaTheme="minorEastAsia"/>
        </w:rPr>
        <w:t>získal</w:t>
      </w:r>
      <w:r w:rsidR="00306791">
        <w:rPr>
          <w:rFonts w:eastAsiaTheme="minorEastAsia"/>
        </w:rPr>
        <w:t>a</w:t>
      </w:r>
      <w:r w:rsidR="00A05CDB">
        <w:rPr>
          <w:rFonts w:eastAsiaTheme="minorEastAsia"/>
        </w:rPr>
        <w:t xml:space="preserve"> </w:t>
      </w:r>
      <w:r>
        <w:rPr>
          <w:rFonts w:eastAsiaTheme="minorEastAsia"/>
        </w:rPr>
        <w:t>bez zajištění na</w:t>
      </w:r>
      <w:r w:rsidR="00A05CDB">
        <w:rPr>
          <w:rFonts w:eastAsiaTheme="minorEastAsia"/>
        </w:rPr>
        <w:t> </w:t>
      </w:r>
      <w:r>
        <w:rPr>
          <w:rFonts w:eastAsiaTheme="minorEastAsia"/>
        </w:rPr>
        <w:t xml:space="preserve">spotovém trhu směnou 100 000 </w:t>
      </w:r>
      <w:r w:rsidR="00447807">
        <w:rPr>
          <w:rFonts w:eastAsiaTheme="minorEastAsia"/>
        </w:rPr>
        <w:t>EUR</w:t>
      </w:r>
      <w:r w:rsidR="00DD70E2">
        <w:rPr>
          <w:rFonts w:eastAsiaTheme="minorEastAsia"/>
        </w:rPr>
        <w:t xml:space="preserve"> za dolary</w:t>
      </w:r>
      <w:r>
        <w:rPr>
          <w:rFonts w:eastAsiaTheme="minorEastAsia"/>
        </w:rPr>
        <w:t xml:space="preserve">. Pokud je </w:t>
      </w:r>
      <w:r w:rsidR="00A05CDB">
        <w:rPr>
          <w:rFonts w:eastAsiaTheme="minorEastAsia"/>
        </w:rPr>
        <w:t xml:space="preserve">výsledná </w:t>
      </w:r>
      <w:r>
        <w:rPr>
          <w:rFonts w:eastAsiaTheme="minorEastAsia"/>
        </w:rPr>
        <w:t xml:space="preserve">pozice společnosti při zajištění (tedy hodnota v posledním vzorci) nižší než suma </w:t>
      </w:r>
      <w:r w:rsidR="00DD70E2">
        <w:rPr>
          <w:rFonts w:eastAsiaTheme="minorEastAsia"/>
        </w:rPr>
        <w:t xml:space="preserve">teoreticky </w:t>
      </w:r>
      <w:r>
        <w:rPr>
          <w:rFonts w:eastAsiaTheme="minorEastAsia"/>
        </w:rPr>
        <w:t>získaná na</w:t>
      </w:r>
      <w:r w:rsidR="00DD70E2">
        <w:rPr>
          <w:rFonts w:eastAsiaTheme="minorEastAsia"/>
        </w:rPr>
        <w:t> </w:t>
      </w:r>
      <w:r>
        <w:rPr>
          <w:rFonts w:eastAsiaTheme="minorEastAsia"/>
        </w:rPr>
        <w:t>spotovém trhu, pak společnost kou</w:t>
      </w:r>
      <w:r w:rsidR="00306791">
        <w:rPr>
          <w:rFonts w:eastAsiaTheme="minorEastAsia"/>
        </w:rPr>
        <w:t xml:space="preserve">pením put opce prodělala. Tato </w:t>
      </w:r>
      <w:r>
        <w:rPr>
          <w:rFonts w:eastAsiaTheme="minorEastAsia"/>
        </w:rPr>
        <w:t xml:space="preserve">záporná </w:t>
      </w:r>
      <w:r w:rsidR="00306791">
        <w:rPr>
          <w:rFonts w:eastAsiaTheme="minorEastAsia"/>
        </w:rPr>
        <w:t>bilance je</w:t>
      </w:r>
      <w:r w:rsidR="00DD70E2">
        <w:rPr>
          <w:rFonts w:eastAsiaTheme="minorEastAsia"/>
        </w:rPr>
        <w:t> </w:t>
      </w:r>
      <w:r>
        <w:rPr>
          <w:rFonts w:eastAsiaTheme="minorEastAsia"/>
        </w:rPr>
        <w:t xml:space="preserve">v Tabulce </w:t>
      </w:r>
      <w:r w:rsidR="00A05CDB">
        <w:rPr>
          <w:rFonts w:eastAsiaTheme="minorEastAsia"/>
        </w:rPr>
        <w:t xml:space="preserve">14 </w:t>
      </w:r>
      <w:r>
        <w:rPr>
          <w:rFonts w:eastAsiaTheme="minorEastAsia"/>
        </w:rPr>
        <w:t>znázorněna červenou barvou.</w:t>
      </w:r>
    </w:p>
    <w:p w:rsidR="00D6513E" w:rsidRDefault="00D6513E" w:rsidP="00D6513E">
      <w:pPr>
        <w:spacing w:after="240" w:line="276" w:lineRule="auto"/>
        <w:jc w:val="both"/>
        <w:rPr>
          <w:rFonts w:eastAsiaTheme="minorEastAsia"/>
        </w:rPr>
      </w:pPr>
      <w:r>
        <w:rPr>
          <w:rFonts w:eastAsiaTheme="minorEastAsia"/>
        </w:rPr>
        <w:t>Celková suma posledního sloupce, tedy součet všech reálně inkasovaných peněz</w:t>
      </w:r>
      <w:r w:rsidR="00A05CDB">
        <w:rPr>
          <w:rFonts w:eastAsiaTheme="minorEastAsia"/>
        </w:rPr>
        <w:t xml:space="preserve"> získaných směnou 100 000 </w:t>
      </w:r>
      <w:r w:rsidR="00447807">
        <w:rPr>
          <w:rFonts w:eastAsiaTheme="minorEastAsia"/>
        </w:rPr>
        <w:t>EUR</w:t>
      </w:r>
      <w:r>
        <w:rPr>
          <w:rFonts w:eastAsiaTheme="minorEastAsia"/>
        </w:rPr>
        <w:t xml:space="preserve"> </w:t>
      </w:r>
      <w:r w:rsidR="00A05CDB">
        <w:rPr>
          <w:rFonts w:eastAsiaTheme="minorEastAsia"/>
        </w:rPr>
        <w:t>prostřednictvím opc</w:t>
      </w:r>
      <w:r w:rsidR="00DD70E2">
        <w:rPr>
          <w:rFonts w:eastAsiaTheme="minorEastAsia"/>
        </w:rPr>
        <w:t>í</w:t>
      </w:r>
      <w:r w:rsidR="00A05CDB">
        <w:rPr>
          <w:rFonts w:eastAsiaTheme="minorEastAsia"/>
        </w:rPr>
        <w:t xml:space="preserve">, </w:t>
      </w:r>
      <w:r>
        <w:rPr>
          <w:rFonts w:eastAsiaTheme="minorEastAsia"/>
        </w:rPr>
        <w:t xml:space="preserve">denominovaných v amerických dolarech, činí 1 238 142,14 </w:t>
      </w:r>
      <w:r w:rsidR="00447807">
        <w:rPr>
          <w:rFonts w:eastAsiaTheme="minorEastAsia"/>
        </w:rPr>
        <w:t>USD</w:t>
      </w:r>
      <w:r>
        <w:rPr>
          <w:rFonts w:eastAsiaTheme="minorEastAsia"/>
        </w:rPr>
        <w:t>.</w:t>
      </w:r>
    </w:p>
    <w:p w:rsidR="00A05CDB" w:rsidRDefault="00A05CDB">
      <w:pPr>
        <w:suppressAutoHyphens w:val="0"/>
        <w:spacing w:after="200" w:line="276" w:lineRule="auto"/>
        <w:rPr>
          <w:rFonts w:asciiTheme="minorHAnsi" w:eastAsiaTheme="minorEastAsia" w:hAnsiTheme="minorHAnsi" w:cstheme="minorBidi"/>
          <w:b/>
          <w:sz w:val="22"/>
          <w:szCs w:val="22"/>
          <w:lang w:eastAsia="en-US"/>
        </w:rPr>
      </w:pPr>
    </w:p>
    <w:p w:rsidR="00D6513E" w:rsidRPr="00A05CDB" w:rsidRDefault="00D6513E" w:rsidP="00D6513E">
      <w:pPr>
        <w:pStyle w:val="Odstavecseseznamem"/>
        <w:numPr>
          <w:ilvl w:val="0"/>
          <w:numId w:val="22"/>
        </w:numPr>
        <w:spacing w:after="240"/>
        <w:rPr>
          <w:rFonts w:ascii="Times New Roman" w:eastAsiaTheme="minorEastAsia" w:hAnsi="Times New Roman" w:cs="Times New Roman"/>
          <w:sz w:val="24"/>
        </w:rPr>
      </w:pPr>
      <w:r w:rsidRPr="00A05CDB">
        <w:rPr>
          <w:rFonts w:ascii="Times New Roman" w:eastAsiaTheme="minorEastAsia" w:hAnsi="Times New Roman" w:cs="Times New Roman"/>
          <w:b/>
          <w:sz w:val="24"/>
        </w:rPr>
        <w:t>Zajištění pomocí měnové short call opce</w:t>
      </w:r>
    </w:p>
    <w:p w:rsidR="00D6513E" w:rsidRDefault="00D6513E" w:rsidP="00D6513E">
      <w:pPr>
        <w:spacing w:after="240" w:line="276" w:lineRule="auto"/>
        <w:jc w:val="both"/>
        <w:rPr>
          <w:rFonts w:eastAsiaTheme="minorEastAsia"/>
        </w:rPr>
      </w:pPr>
      <w:r>
        <w:rPr>
          <w:rFonts w:eastAsiaTheme="minorEastAsia"/>
        </w:rPr>
        <w:t xml:space="preserve">Společnost </w:t>
      </w:r>
      <w:r w:rsidR="00361DA1">
        <w:rPr>
          <w:rFonts w:eastAsiaTheme="minorEastAsia"/>
        </w:rPr>
        <w:t>Delor</w:t>
      </w:r>
      <w:r>
        <w:rPr>
          <w:rFonts w:eastAsiaTheme="minorEastAsia"/>
        </w:rPr>
        <w:t xml:space="preserve"> může své pravidelně inkasované obnosy finančních prostředků v hodnotě 100 000 </w:t>
      </w:r>
      <w:r w:rsidR="00447807">
        <w:rPr>
          <w:rFonts w:eastAsiaTheme="minorEastAsia"/>
        </w:rPr>
        <w:t>EUR</w:t>
      </w:r>
      <w:r>
        <w:rPr>
          <w:rFonts w:eastAsiaTheme="minorEastAsia"/>
        </w:rPr>
        <w:t xml:space="preserve"> směňovat také prostřednictvím prodeje call opce. I v tomto případě se jedná o</w:t>
      </w:r>
      <w:r w:rsidR="00A05CDB">
        <w:rPr>
          <w:rFonts w:eastAsiaTheme="minorEastAsia"/>
        </w:rPr>
        <w:t> </w:t>
      </w:r>
      <w:r>
        <w:rPr>
          <w:rFonts w:eastAsiaTheme="minorEastAsia"/>
        </w:rPr>
        <w:t xml:space="preserve">pozici, která společnosti umožňuje prodat sumu v eurech, avšak tentokrát společnost </w:t>
      </w:r>
      <w:r w:rsidR="00361DA1">
        <w:rPr>
          <w:rFonts w:eastAsiaTheme="minorEastAsia"/>
        </w:rPr>
        <w:t>Delor</w:t>
      </w:r>
      <w:r>
        <w:rPr>
          <w:rFonts w:eastAsiaTheme="minorEastAsia"/>
        </w:rPr>
        <w:t xml:space="preserve"> </w:t>
      </w:r>
      <w:r w:rsidR="00DD70E2">
        <w:rPr>
          <w:rFonts w:eastAsiaTheme="minorEastAsia"/>
        </w:rPr>
        <w:t xml:space="preserve">vystupuje jako prodávající opce, což </w:t>
      </w:r>
      <w:r>
        <w:rPr>
          <w:rFonts w:eastAsiaTheme="minorEastAsia"/>
        </w:rPr>
        <w:t>znamená, že nemá právo volby uplatnění opce. Pokud se</w:t>
      </w:r>
      <w:r w:rsidR="00DD70E2">
        <w:rPr>
          <w:rFonts w:eastAsiaTheme="minorEastAsia"/>
        </w:rPr>
        <w:t> </w:t>
      </w:r>
      <w:r>
        <w:rPr>
          <w:rFonts w:eastAsiaTheme="minorEastAsia"/>
        </w:rPr>
        <w:t xml:space="preserve">protistrana kontraktu rozhodne opci uplatnit, </w:t>
      </w:r>
      <w:r w:rsidR="00361DA1">
        <w:rPr>
          <w:rFonts w:eastAsiaTheme="minorEastAsia"/>
        </w:rPr>
        <w:t>Delor</w:t>
      </w:r>
      <w:r>
        <w:rPr>
          <w:rFonts w:eastAsiaTheme="minorEastAsia"/>
        </w:rPr>
        <w:t xml:space="preserve"> má povinnost obnos v eurech směnit za</w:t>
      </w:r>
      <w:r w:rsidR="00DD70E2">
        <w:rPr>
          <w:rFonts w:eastAsiaTheme="minorEastAsia"/>
        </w:rPr>
        <w:t> </w:t>
      </w:r>
      <w:r>
        <w:rPr>
          <w:rFonts w:eastAsiaTheme="minorEastAsia"/>
        </w:rPr>
        <w:t>stanovenou realizační cenu. Pozitivem této varianty je inkasování opčních prémií od</w:t>
      </w:r>
      <w:r w:rsidR="00DD70E2">
        <w:rPr>
          <w:rFonts w:eastAsiaTheme="minorEastAsia"/>
        </w:rPr>
        <w:t> </w:t>
      </w:r>
      <w:r>
        <w:rPr>
          <w:rFonts w:eastAsiaTheme="minorEastAsia"/>
        </w:rPr>
        <w:t>kupujícího opce.</w:t>
      </w:r>
    </w:p>
    <w:p w:rsidR="00D6513E" w:rsidRDefault="00D6513E" w:rsidP="00D6513E">
      <w:pPr>
        <w:spacing w:after="240" w:line="276" w:lineRule="auto"/>
        <w:jc w:val="both"/>
        <w:rPr>
          <w:rFonts w:eastAsiaTheme="minorEastAsia"/>
        </w:rPr>
      </w:pPr>
      <w:r>
        <w:rPr>
          <w:rFonts w:eastAsiaTheme="minorEastAsia"/>
        </w:rPr>
        <w:t>Opční prémie pro call opci se stanoví pomocí vzorce</w:t>
      </w:r>
      <w:r>
        <w:rPr>
          <w:rStyle w:val="Znakapoznpodarou"/>
          <w:rFonts w:eastAsiaTheme="minorEastAsia"/>
        </w:rPr>
        <w:footnoteReference w:id="124"/>
      </w:r>
      <w:r>
        <w:rPr>
          <w:rFonts w:eastAsiaTheme="minorEastAsia"/>
        </w:rPr>
        <w:t xml:space="preserve">: </w:t>
      </w:r>
    </w:p>
    <w:p w:rsidR="00D6513E" w:rsidRDefault="00D6513E" w:rsidP="00D6513E">
      <w:pPr>
        <w:spacing w:after="240" w:line="276" w:lineRule="auto"/>
        <w:jc w:val="both"/>
        <w:rPr>
          <w:rFonts w:eastAsiaTheme="minorEastAsia"/>
        </w:rPr>
      </w:pPr>
      <m:oMathPara>
        <m:oMath>
          <m:r>
            <w:rPr>
              <w:rFonts w:ascii="Cambria Math" w:eastAsiaTheme="minorEastAsia" w:hAnsi="Cambria Math"/>
            </w:rPr>
            <m:t>C=</m:t>
          </m:r>
          <m:f>
            <m:fPr>
              <m:ctrlPr>
                <w:rPr>
                  <w:rFonts w:ascii="Cambria Math" w:eastAsiaTheme="minorEastAsia" w:hAnsi="Cambria Math"/>
                  <w:i/>
                </w:rPr>
              </m:ctrlPr>
            </m:fPr>
            <m:num>
              <m:r>
                <w:rPr>
                  <w:rFonts w:ascii="Cambria Math" w:eastAsiaTheme="minorEastAsia" w:hAnsi="Cambria Math"/>
                </w:rPr>
                <m:t>S</m:t>
              </m:r>
            </m:num>
            <m:den>
              <m:sSup>
                <m:sSupPr>
                  <m:ctrlPr>
                    <w:rPr>
                      <w:rFonts w:ascii="Cambria Math" w:eastAsiaTheme="minorEastAsia" w:hAnsi="Cambria Math"/>
                      <w:i/>
                    </w:rPr>
                  </m:ctrlPr>
                </m:sSupPr>
                <m:e>
                  <m:r>
                    <w:rPr>
                      <w:rFonts w:ascii="Cambria Math" w:eastAsiaTheme="minorEastAsia" w:hAnsi="Cambria Math"/>
                    </w:rPr>
                    <m:t>e</m:t>
                  </m:r>
                </m:e>
                <m:sup>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CM</m:t>
                      </m:r>
                    </m:sub>
                  </m:sSub>
                  <m:r>
                    <w:rPr>
                      <w:rFonts w:ascii="Cambria Math" w:eastAsiaTheme="minorEastAsia" w:hAnsi="Cambria Math"/>
                    </w:rPr>
                    <m:t>*t</m:t>
                  </m:r>
                </m:sup>
              </m:sSup>
            </m:den>
          </m:f>
          <m:r>
            <w:rPr>
              <w:rFonts w:ascii="Cambria Math" w:eastAsiaTheme="minorEastAsia" w:hAnsi="Cambria Math"/>
            </w:rPr>
            <m:t>*N</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m:t>
                  </m:r>
                </m:sub>
              </m:sSub>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sSup>
                <m:sSupPr>
                  <m:ctrlPr>
                    <w:rPr>
                      <w:rFonts w:ascii="Cambria Math" w:eastAsiaTheme="minorEastAsia" w:hAnsi="Cambria Math"/>
                      <w:i/>
                    </w:rPr>
                  </m:ctrlPr>
                </m:sSupPr>
                <m:e>
                  <m:r>
                    <w:rPr>
                      <w:rFonts w:ascii="Cambria Math" w:eastAsiaTheme="minorEastAsia" w:hAnsi="Cambria Math"/>
                    </w:rPr>
                    <m:t>e</m:t>
                  </m:r>
                </m:e>
                <m:sup>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DM</m:t>
                      </m:r>
                    </m:sub>
                  </m:sSub>
                  <m:r>
                    <w:rPr>
                      <w:rFonts w:ascii="Cambria Math" w:eastAsiaTheme="minorEastAsia" w:hAnsi="Cambria Math"/>
                    </w:rPr>
                    <m:t>*t</m:t>
                  </m:r>
                </m:sup>
              </m:sSup>
            </m:den>
          </m:f>
          <m:r>
            <w:rPr>
              <w:rFonts w:ascii="Cambria Math" w:eastAsiaTheme="minorEastAsia" w:hAnsi="Cambria Math"/>
            </w:rPr>
            <m:t>*N(</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2</m:t>
              </m:r>
            </m:sub>
          </m:sSub>
          <m:r>
            <w:rPr>
              <w:rFonts w:ascii="Cambria Math" w:eastAsiaTheme="minorEastAsia" w:hAnsi="Cambria Math"/>
            </w:rPr>
            <m:t>)</m:t>
          </m:r>
        </m:oMath>
      </m:oMathPara>
    </w:p>
    <w:p w:rsidR="00D6513E" w:rsidRPr="00565642" w:rsidRDefault="00D6513E" w:rsidP="00D6513E">
      <w:pPr>
        <w:spacing w:after="240" w:line="276" w:lineRule="auto"/>
        <w:jc w:val="both"/>
        <w:rPr>
          <w:rFonts w:eastAsiaTheme="minorEastAsia"/>
        </w:rPr>
      </w:pPr>
      <w:r>
        <w:rPr>
          <w:rFonts w:eastAsiaTheme="minorEastAsia"/>
        </w:rPr>
        <w:t xml:space="preserve">Hodnoty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1</m:t>
            </m:r>
          </m:sub>
        </m:sSub>
      </m:oMath>
      <w:r>
        <w:rPr>
          <w:rFonts w:eastAsiaTheme="minorEastAsia"/>
        </w:rPr>
        <w:t xml:space="preserve"> a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2</m:t>
            </m:r>
          </m:sub>
        </m:sSub>
      </m:oMath>
      <w:r>
        <w:rPr>
          <w:rFonts w:eastAsiaTheme="minorEastAsia"/>
        </w:rPr>
        <w:t xml:space="preserve"> stanovíme stejně jako u put opce.</w:t>
      </w:r>
    </w:p>
    <w:p w:rsidR="00D6513E" w:rsidRDefault="00D6513E" w:rsidP="00D6513E">
      <w:pPr>
        <w:spacing w:after="240" w:line="276" w:lineRule="auto"/>
        <w:jc w:val="both"/>
        <w:rPr>
          <w:rFonts w:eastAsiaTheme="minorEastAsia"/>
        </w:rPr>
      </w:pPr>
      <w:r>
        <w:rPr>
          <w:rFonts w:eastAsiaTheme="minorEastAsia"/>
        </w:rPr>
        <w:t xml:space="preserve">Opět zde </w:t>
      </w:r>
      <w:r w:rsidR="00306791">
        <w:rPr>
          <w:rFonts w:eastAsiaTheme="minorEastAsia"/>
        </w:rPr>
        <w:t>bude nejdříve vysvětlen</w:t>
      </w:r>
      <w:r>
        <w:rPr>
          <w:rFonts w:eastAsiaTheme="minorEastAsia"/>
        </w:rPr>
        <w:t xml:space="preserve"> princip fungování na opci s nejkratší dobou splatnosti.</w:t>
      </w:r>
    </w:p>
    <w:p w:rsidR="00D6513E" w:rsidRDefault="00D6513E" w:rsidP="00D6513E">
      <w:pPr>
        <w:spacing w:after="240" w:line="276" w:lineRule="auto"/>
        <w:jc w:val="both"/>
        <w:rPr>
          <w:rFonts w:eastAsiaTheme="minorEastAsia"/>
        </w:rPr>
      </w:pPr>
      <w:r>
        <w:rPr>
          <w:rFonts w:eastAsiaTheme="minorEastAsia"/>
        </w:rPr>
        <w:t xml:space="preserve">Všechny proměnné jsou stanoveny stejně jako u put opce. Zůstává tedy stejná i realizační cena. Po dosazení do vzorce pro výpočet ceny call opce </w:t>
      </w:r>
      <w:r w:rsidR="00306791">
        <w:rPr>
          <w:rFonts w:eastAsiaTheme="minorEastAsia"/>
        </w:rPr>
        <w:t>je</w:t>
      </w:r>
      <w:r>
        <w:rPr>
          <w:rFonts w:eastAsiaTheme="minorEastAsia"/>
        </w:rPr>
        <w:t xml:space="preserve"> pro opci s proměnnou </w:t>
      </w:r>
      <w:r>
        <w:rPr>
          <w:rFonts w:eastAsiaTheme="minorEastAsia"/>
          <w:i/>
        </w:rPr>
        <w:t xml:space="preserve">t </w:t>
      </w:r>
      <w:r>
        <w:rPr>
          <w:rFonts w:eastAsiaTheme="minorEastAsia"/>
        </w:rPr>
        <w:t>= 0,5 výsledek</w:t>
      </w:r>
      <w:r w:rsidR="00306791">
        <w:rPr>
          <w:rFonts w:eastAsiaTheme="minorEastAsia"/>
        </w:rPr>
        <w:t xml:space="preserve"> roven</w:t>
      </w:r>
      <w:r>
        <w:rPr>
          <w:rFonts w:eastAsiaTheme="minorEastAsia"/>
        </w:rPr>
        <w:t xml:space="preserve"> 0,0568 USD/EUR. Velikost inkasované opční prémie společností </w:t>
      </w:r>
      <w:r w:rsidR="00361DA1">
        <w:rPr>
          <w:rFonts w:eastAsiaTheme="minorEastAsia"/>
        </w:rPr>
        <w:t>Delor</w:t>
      </w:r>
      <w:r>
        <w:rPr>
          <w:rFonts w:eastAsiaTheme="minorEastAsia"/>
        </w:rPr>
        <w:t xml:space="preserve"> tedy činí 5 683,16 </w:t>
      </w:r>
      <w:r w:rsidR="00447807">
        <w:rPr>
          <w:rFonts w:eastAsiaTheme="minorEastAsia"/>
        </w:rPr>
        <w:t>USD</w:t>
      </w:r>
      <w:r>
        <w:rPr>
          <w:rFonts w:eastAsiaTheme="minorEastAsia"/>
        </w:rPr>
        <w:t>.</w:t>
      </w:r>
    </w:p>
    <w:p w:rsidR="00D6513E" w:rsidRDefault="00D6513E" w:rsidP="00D6513E">
      <w:pPr>
        <w:spacing w:after="240" w:line="276" w:lineRule="auto"/>
        <w:jc w:val="both"/>
        <w:rPr>
          <w:rFonts w:eastAsiaTheme="minorEastAsia"/>
        </w:rPr>
      </w:pPr>
      <w:r>
        <w:rPr>
          <w:rFonts w:eastAsiaTheme="minorEastAsia"/>
        </w:rPr>
        <w:lastRenderedPageBreak/>
        <w:t xml:space="preserve">Pozice společnosti </w:t>
      </w:r>
      <w:r w:rsidR="00361DA1">
        <w:rPr>
          <w:rFonts w:eastAsiaTheme="minorEastAsia"/>
        </w:rPr>
        <w:t>Delor</w:t>
      </w:r>
      <w:r w:rsidR="00DD70E2">
        <w:rPr>
          <w:rFonts w:eastAsiaTheme="minorEastAsia"/>
        </w:rPr>
        <w:t xml:space="preserve"> je zobrazena na Obr.</w:t>
      </w:r>
      <w:r>
        <w:rPr>
          <w:rFonts w:eastAsiaTheme="minorEastAsia"/>
        </w:rPr>
        <w:t xml:space="preserve"> </w:t>
      </w:r>
      <w:r w:rsidR="00184772">
        <w:rPr>
          <w:rFonts w:eastAsiaTheme="minorEastAsia"/>
        </w:rPr>
        <w:t>17</w:t>
      </w:r>
      <w:r>
        <w:rPr>
          <w:rFonts w:eastAsiaTheme="minorEastAsia"/>
        </w:rPr>
        <w:t>. Společnost realizuje omezený zisk, který je</w:t>
      </w:r>
      <w:r w:rsidR="00DD70E2">
        <w:rPr>
          <w:rFonts w:eastAsiaTheme="minorEastAsia"/>
        </w:rPr>
        <w:t> </w:t>
      </w:r>
      <w:r>
        <w:rPr>
          <w:rFonts w:eastAsiaTheme="minorEastAsia"/>
        </w:rPr>
        <w:t>roven inkasované opční prémii, což pro opci s půlroční dobou trvání činí 5 683,16 </w:t>
      </w:r>
      <w:r w:rsidR="00447807">
        <w:rPr>
          <w:rFonts w:eastAsiaTheme="minorEastAsia"/>
        </w:rPr>
        <w:t>USD</w:t>
      </w:r>
      <w:r>
        <w:rPr>
          <w:rFonts w:eastAsiaTheme="minorEastAsia"/>
        </w:rPr>
        <w:t xml:space="preserve">. Mezi kurzem stanoveným pro výpočet opční prémie a kurzem 1,3398 USD/EUR, který představuje realizační cenu, společnost realizuje částečný zisk. Pokud měnový kurz stoupne nad hodnotu 1,3966, která je součtem realizační ceny a opční prémie, realizuje společnost </w:t>
      </w:r>
      <w:r w:rsidR="00361DA1">
        <w:rPr>
          <w:rFonts w:eastAsiaTheme="minorEastAsia"/>
        </w:rPr>
        <w:t>Delor</w:t>
      </w:r>
      <w:r>
        <w:rPr>
          <w:rFonts w:eastAsiaTheme="minorEastAsia"/>
        </w:rPr>
        <w:t xml:space="preserve"> neomezenou ztrátu. Z tohoto důvodu je pro </w:t>
      </w:r>
      <w:r w:rsidR="00361DA1">
        <w:rPr>
          <w:rFonts w:eastAsiaTheme="minorEastAsia"/>
        </w:rPr>
        <w:t>Delor</w:t>
      </w:r>
      <w:r>
        <w:rPr>
          <w:rFonts w:eastAsiaTheme="minorEastAsia"/>
        </w:rPr>
        <w:t xml:space="preserve"> sjednání short call opce velmi rizikové. </w:t>
      </w:r>
      <w:r w:rsidRPr="00613B29">
        <w:rPr>
          <w:rFonts w:eastAsiaTheme="minorEastAsia"/>
        </w:rPr>
        <w:t>Společnost by tuto variantu opčního obchodu pravděpodobně sjednala, pouze pokud by očekávala dlouhodobý pokles hodnot měnového kurzu USD/EUR.</w:t>
      </w:r>
    </w:p>
    <w:p w:rsidR="00184772" w:rsidRPr="005243A1" w:rsidRDefault="00184772" w:rsidP="00D6513E">
      <w:pPr>
        <w:spacing w:after="240" w:line="276" w:lineRule="auto"/>
        <w:jc w:val="both"/>
        <w:rPr>
          <w:rFonts w:eastAsiaTheme="minorEastAsia"/>
          <w:color w:val="09990C"/>
        </w:rPr>
      </w:pPr>
    </w:p>
    <w:p w:rsidR="00A05CDB" w:rsidRPr="00A05CDB" w:rsidRDefault="00A05CDB" w:rsidP="00A05CDB">
      <w:pPr>
        <w:pStyle w:val="Titulek"/>
        <w:keepNext/>
        <w:spacing w:line="276" w:lineRule="auto"/>
        <w:jc w:val="both"/>
        <w:rPr>
          <w:rFonts w:ascii="Times New Roman" w:hAnsi="Times New Roman" w:cs="Times New Roman"/>
          <w:b w:val="0"/>
          <w:color w:val="auto"/>
          <w:sz w:val="24"/>
        </w:rPr>
      </w:pPr>
      <w:bookmarkStart w:id="100" w:name="_Toc354393023"/>
      <w:r w:rsidRPr="00A05CDB">
        <w:rPr>
          <w:rFonts w:ascii="Times New Roman" w:hAnsi="Times New Roman" w:cs="Times New Roman"/>
          <w:b w:val="0"/>
          <w:color w:val="auto"/>
          <w:sz w:val="24"/>
        </w:rPr>
        <w:t xml:space="preserve">Obr. </w:t>
      </w:r>
      <w:r w:rsidR="00FA567C" w:rsidRPr="00A05CDB">
        <w:rPr>
          <w:rFonts w:ascii="Times New Roman" w:hAnsi="Times New Roman" w:cs="Times New Roman"/>
          <w:b w:val="0"/>
          <w:color w:val="auto"/>
          <w:sz w:val="24"/>
        </w:rPr>
        <w:fldChar w:fldCharType="begin"/>
      </w:r>
      <w:r w:rsidRPr="00A05CDB">
        <w:rPr>
          <w:rFonts w:ascii="Times New Roman" w:hAnsi="Times New Roman" w:cs="Times New Roman"/>
          <w:b w:val="0"/>
          <w:color w:val="auto"/>
          <w:sz w:val="24"/>
        </w:rPr>
        <w:instrText xml:space="preserve"> SEQ Obr. \* ARABIC </w:instrText>
      </w:r>
      <w:r w:rsidR="00FA567C" w:rsidRPr="00A05CDB">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17</w:t>
      </w:r>
      <w:r w:rsidR="00FA567C" w:rsidRPr="00A05CDB">
        <w:rPr>
          <w:rFonts w:ascii="Times New Roman" w:hAnsi="Times New Roman" w:cs="Times New Roman"/>
          <w:b w:val="0"/>
          <w:color w:val="auto"/>
          <w:sz w:val="24"/>
        </w:rPr>
        <w:fldChar w:fldCharType="end"/>
      </w:r>
      <w:r w:rsidRPr="00A05CDB">
        <w:rPr>
          <w:rFonts w:ascii="Times New Roman" w:hAnsi="Times New Roman" w:cs="Times New Roman"/>
          <w:b w:val="0"/>
          <w:color w:val="auto"/>
          <w:sz w:val="24"/>
        </w:rPr>
        <w:t>: Pozice společnosti v short call opci se splatností t = 0,5</w:t>
      </w:r>
      <w:bookmarkEnd w:id="100"/>
    </w:p>
    <w:p w:rsidR="00D6513E" w:rsidRDefault="00D6513E" w:rsidP="00D6513E">
      <w:pPr>
        <w:keepNext/>
        <w:spacing w:after="240" w:line="276" w:lineRule="auto"/>
        <w:jc w:val="center"/>
      </w:pPr>
      <w:r>
        <w:rPr>
          <w:rFonts w:eastAsiaTheme="minorEastAsia"/>
          <w:noProof/>
          <w:lang w:eastAsia="cs-CZ"/>
        </w:rPr>
        <w:drawing>
          <wp:inline distT="0" distB="0" distL="0" distR="0">
            <wp:extent cx="5181600" cy="2369522"/>
            <wp:effectExtent l="19050" t="0" r="0" b="0"/>
            <wp:docPr id="2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srcRect t="2518" r="1056" b="5036"/>
                    <a:stretch>
                      <a:fillRect/>
                    </a:stretch>
                  </pic:blipFill>
                  <pic:spPr bwMode="auto">
                    <a:xfrm>
                      <a:off x="0" y="0"/>
                      <a:ext cx="5181600" cy="2369522"/>
                    </a:xfrm>
                    <a:prstGeom prst="rect">
                      <a:avLst/>
                    </a:prstGeom>
                    <a:noFill/>
                    <a:ln w="9525">
                      <a:noFill/>
                      <a:miter lim="800000"/>
                      <a:headEnd/>
                      <a:tailEnd/>
                    </a:ln>
                  </pic:spPr>
                </pic:pic>
              </a:graphicData>
            </a:graphic>
          </wp:inline>
        </w:drawing>
      </w:r>
    </w:p>
    <w:p w:rsidR="00A05CDB" w:rsidRDefault="00A05CDB" w:rsidP="00A05CDB">
      <w:pPr>
        <w:keepNext/>
        <w:spacing w:after="240" w:line="276" w:lineRule="auto"/>
        <w:jc w:val="both"/>
        <w:rPr>
          <w:i/>
          <w:sz w:val="20"/>
        </w:rPr>
      </w:pPr>
      <w:r>
        <w:rPr>
          <w:i/>
          <w:sz w:val="20"/>
        </w:rPr>
        <w:t>Pramen: Vlastní zpracování</w:t>
      </w:r>
    </w:p>
    <w:p w:rsidR="00A05CDB" w:rsidRPr="00A05CDB" w:rsidRDefault="00A05CDB" w:rsidP="00A05CDB">
      <w:pPr>
        <w:keepNext/>
        <w:spacing w:after="240" w:line="276" w:lineRule="auto"/>
        <w:jc w:val="both"/>
      </w:pPr>
    </w:p>
    <w:p w:rsidR="00D6513E" w:rsidRDefault="00D6513E" w:rsidP="00D6513E">
      <w:pPr>
        <w:spacing w:after="240" w:line="276" w:lineRule="auto"/>
        <w:jc w:val="both"/>
        <w:rPr>
          <w:rFonts w:eastAsiaTheme="minorEastAsia"/>
        </w:rPr>
      </w:pPr>
      <w:r>
        <w:rPr>
          <w:rFonts w:eastAsiaTheme="minorEastAsia"/>
        </w:rPr>
        <w:t>Předvídaná hodnota měnového kurzu USD/EUR ke dni 7. 8. 2013, tedy ke dni splatnosti call opce, je 1,1069. Realizační cena je stanovena na 1,3398</w:t>
      </w:r>
      <w:r w:rsidR="00A05CDB">
        <w:rPr>
          <w:rFonts w:eastAsiaTheme="minorEastAsia"/>
        </w:rPr>
        <w:t xml:space="preserve"> USD/EUR</w:t>
      </w:r>
      <w:r>
        <w:rPr>
          <w:rFonts w:eastAsiaTheme="minorEastAsia"/>
        </w:rPr>
        <w:t>, majitel opce tedy opci neuplat</w:t>
      </w:r>
      <w:r w:rsidR="00110739">
        <w:rPr>
          <w:rFonts w:eastAsiaTheme="minorEastAsia"/>
        </w:rPr>
        <w:t>ní, jelikož je pro něj</w:t>
      </w:r>
      <w:r>
        <w:rPr>
          <w:rFonts w:eastAsiaTheme="minorEastAsia"/>
        </w:rPr>
        <w:t xml:space="preserve"> výhodnější směnit své finančn</w:t>
      </w:r>
      <w:r w:rsidR="0082379B">
        <w:rPr>
          <w:rFonts w:eastAsiaTheme="minorEastAsia"/>
        </w:rPr>
        <w:t>í prostředky na spotovém trhu. Také</w:t>
      </w:r>
      <w:r w:rsidR="00A05CDB">
        <w:rPr>
          <w:rFonts w:eastAsiaTheme="minorEastAsia"/>
        </w:rPr>
        <w:t> </w:t>
      </w:r>
      <w:r>
        <w:rPr>
          <w:rFonts w:eastAsiaTheme="minorEastAsia"/>
        </w:rPr>
        <w:t xml:space="preserve">pro společnost </w:t>
      </w:r>
      <w:r w:rsidR="00361DA1">
        <w:rPr>
          <w:rFonts w:eastAsiaTheme="minorEastAsia"/>
        </w:rPr>
        <w:t>Delor</w:t>
      </w:r>
      <w:r>
        <w:rPr>
          <w:rFonts w:eastAsiaTheme="minorEastAsia"/>
        </w:rPr>
        <w:t xml:space="preserve"> tedy nezbývá jiná m</w:t>
      </w:r>
      <w:r w:rsidR="00A05CDB">
        <w:rPr>
          <w:rFonts w:eastAsiaTheme="minorEastAsia"/>
        </w:rPr>
        <w:t>ožnost, než směnit sumu 100 000 </w:t>
      </w:r>
      <w:r w:rsidR="00447807">
        <w:rPr>
          <w:rFonts w:eastAsiaTheme="minorEastAsia"/>
        </w:rPr>
        <w:t>EUR</w:t>
      </w:r>
      <w:r>
        <w:rPr>
          <w:rFonts w:eastAsiaTheme="minorEastAsia"/>
        </w:rPr>
        <w:t xml:space="preserve"> na</w:t>
      </w:r>
      <w:r w:rsidR="00A05CDB">
        <w:rPr>
          <w:rFonts w:eastAsiaTheme="minorEastAsia"/>
        </w:rPr>
        <w:t> </w:t>
      </w:r>
      <w:r>
        <w:rPr>
          <w:rFonts w:eastAsiaTheme="minorEastAsia"/>
        </w:rPr>
        <w:t>spotovém trhu. Z</w:t>
      </w:r>
      <w:r w:rsidR="00A05CDB">
        <w:rPr>
          <w:rFonts w:eastAsiaTheme="minorEastAsia"/>
        </w:rPr>
        <w:t>a tento obnos obdrží 110 692,94 </w:t>
      </w:r>
      <w:r w:rsidR="00447807">
        <w:rPr>
          <w:rFonts w:eastAsiaTheme="minorEastAsia"/>
        </w:rPr>
        <w:t>USD</w:t>
      </w:r>
      <w:r>
        <w:rPr>
          <w:rFonts w:eastAsiaTheme="minorEastAsia"/>
        </w:rPr>
        <w:t xml:space="preserve">. </w:t>
      </w:r>
      <w:r w:rsidR="00110739">
        <w:rPr>
          <w:rFonts w:eastAsiaTheme="minorEastAsia"/>
        </w:rPr>
        <w:t xml:space="preserve">Je </w:t>
      </w:r>
      <w:r w:rsidR="00133242">
        <w:rPr>
          <w:rFonts w:eastAsiaTheme="minorEastAsia"/>
        </w:rPr>
        <w:t xml:space="preserve">ovšem </w:t>
      </w:r>
      <w:r w:rsidR="00110739">
        <w:rPr>
          <w:rFonts w:eastAsiaTheme="minorEastAsia"/>
        </w:rPr>
        <w:t>třeba mít na paměti</w:t>
      </w:r>
      <w:r>
        <w:rPr>
          <w:rFonts w:eastAsiaTheme="minorEastAsia"/>
        </w:rPr>
        <w:t>, že</w:t>
      </w:r>
      <w:r w:rsidR="00A05CDB">
        <w:rPr>
          <w:rFonts w:eastAsiaTheme="minorEastAsia"/>
        </w:rPr>
        <w:t> </w:t>
      </w:r>
      <w:r>
        <w:rPr>
          <w:rFonts w:eastAsiaTheme="minorEastAsia"/>
        </w:rPr>
        <w:t xml:space="preserve">společnost také obdržela od kupujícího opce opční prémii. Celkem tedy společnost za dané období z obchodů s call opcí inkasovala 116 376,10 </w:t>
      </w:r>
      <w:r w:rsidR="00447807">
        <w:rPr>
          <w:rFonts w:eastAsiaTheme="minorEastAsia"/>
        </w:rPr>
        <w:t>USD</w:t>
      </w:r>
      <w:r>
        <w:rPr>
          <w:rFonts w:eastAsiaTheme="minorEastAsia"/>
        </w:rPr>
        <w:t>.</w:t>
      </w:r>
    </w:p>
    <w:p w:rsidR="00D6513E" w:rsidRDefault="00D6513E" w:rsidP="00D6513E">
      <w:pPr>
        <w:spacing w:after="240" w:line="276" w:lineRule="auto"/>
        <w:jc w:val="both"/>
        <w:rPr>
          <w:rFonts w:eastAsiaTheme="minorEastAsia"/>
        </w:rPr>
      </w:pPr>
      <w:r>
        <w:rPr>
          <w:rFonts w:eastAsiaTheme="minorEastAsia"/>
        </w:rPr>
        <w:t xml:space="preserve">Jednotlivé výsledky všech prodaných call opcí jsou zobrazeny v následujících tabulkách. </w:t>
      </w:r>
    </w:p>
    <w:p w:rsidR="00A05CDB" w:rsidRDefault="00A05CDB" w:rsidP="00D6513E">
      <w:pPr>
        <w:spacing w:after="240" w:line="276" w:lineRule="auto"/>
        <w:jc w:val="both"/>
        <w:rPr>
          <w:rFonts w:eastAsiaTheme="minorEastAsia"/>
        </w:rPr>
      </w:pPr>
    </w:p>
    <w:p w:rsidR="00110739" w:rsidRDefault="00110739">
      <w:pPr>
        <w:suppressAutoHyphens w:val="0"/>
        <w:spacing w:after="200" w:line="276" w:lineRule="auto"/>
        <w:rPr>
          <w:rFonts w:eastAsiaTheme="minorHAnsi"/>
          <w:bCs/>
          <w:szCs w:val="18"/>
          <w:lang w:eastAsia="en-US"/>
        </w:rPr>
      </w:pPr>
      <w:r>
        <w:rPr>
          <w:b/>
        </w:rPr>
        <w:br w:type="page"/>
      </w:r>
    </w:p>
    <w:p w:rsidR="00A05CDB" w:rsidRPr="00A05CDB" w:rsidRDefault="00A05CDB" w:rsidP="00A05CDB">
      <w:pPr>
        <w:pStyle w:val="Titulek"/>
        <w:keepNext/>
        <w:spacing w:line="276" w:lineRule="auto"/>
        <w:jc w:val="both"/>
        <w:rPr>
          <w:rFonts w:ascii="Times New Roman" w:hAnsi="Times New Roman" w:cs="Times New Roman"/>
          <w:b w:val="0"/>
          <w:color w:val="auto"/>
          <w:sz w:val="24"/>
        </w:rPr>
      </w:pPr>
      <w:bookmarkStart w:id="101" w:name="_Toc354393038"/>
      <w:r w:rsidRPr="00A05CDB">
        <w:rPr>
          <w:rFonts w:ascii="Times New Roman" w:hAnsi="Times New Roman" w:cs="Times New Roman"/>
          <w:b w:val="0"/>
          <w:color w:val="auto"/>
          <w:sz w:val="24"/>
        </w:rPr>
        <w:lastRenderedPageBreak/>
        <w:t xml:space="preserve">Tabulka </w:t>
      </w:r>
      <w:r w:rsidR="00FA567C" w:rsidRPr="00A05CDB">
        <w:rPr>
          <w:rFonts w:ascii="Times New Roman" w:hAnsi="Times New Roman" w:cs="Times New Roman"/>
          <w:b w:val="0"/>
          <w:color w:val="auto"/>
          <w:sz w:val="24"/>
        </w:rPr>
        <w:fldChar w:fldCharType="begin"/>
      </w:r>
      <w:r w:rsidRPr="00A05CDB">
        <w:rPr>
          <w:rFonts w:ascii="Times New Roman" w:hAnsi="Times New Roman" w:cs="Times New Roman"/>
          <w:b w:val="0"/>
          <w:color w:val="auto"/>
          <w:sz w:val="24"/>
        </w:rPr>
        <w:instrText xml:space="preserve"> SEQ Tabulka \* ARABIC </w:instrText>
      </w:r>
      <w:r w:rsidR="00FA567C" w:rsidRPr="00A05CDB">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15</w:t>
      </w:r>
      <w:r w:rsidR="00FA567C" w:rsidRPr="00A05CDB">
        <w:rPr>
          <w:rFonts w:ascii="Times New Roman" w:hAnsi="Times New Roman" w:cs="Times New Roman"/>
          <w:b w:val="0"/>
          <w:color w:val="auto"/>
          <w:sz w:val="24"/>
        </w:rPr>
        <w:fldChar w:fldCharType="end"/>
      </w:r>
      <w:r w:rsidRPr="00A05CDB">
        <w:rPr>
          <w:rFonts w:ascii="Times New Roman" w:hAnsi="Times New Roman" w:cs="Times New Roman"/>
          <w:b w:val="0"/>
          <w:color w:val="auto"/>
          <w:sz w:val="24"/>
        </w:rPr>
        <w:t>: Výše opční prémie short call opcí</w:t>
      </w:r>
      <w:bookmarkEnd w:id="101"/>
    </w:p>
    <w:tbl>
      <w:tblPr>
        <w:tblStyle w:val="Svtlstnovn1"/>
        <w:tblW w:w="6489" w:type="dxa"/>
        <w:jc w:val="center"/>
        <w:tblLook w:val="04A0"/>
      </w:tblPr>
      <w:tblGrid>
        <w:gridCol w:w="1640"/>
        <w:gridCol w:w="1834"/>
        <w:gridCol w:w="1134"/>
        <w:gridCol w:w="1881"/>
      </w:tblGrid>
      <w:tr w:rsidR="00D6513E" w:rsidRPr="007D2747" w:rsidTr="00A05CDB">
        <w:trPr>
          <w:cnfStyle w:val="100000000000"/>
          <w:trHeight w:val="300"/>
          <w:jc w:val="center"/>
        </w:trPr>
        <w:tc>
          <w:tcPr>
            <w:cnfStyle w:val="001000000000"/>
            <w:tcW w:w="1640" w:type="dxa"/>
            <w:noWrap/>
            <w:vAlign w:val="center"/>
            <w:hideMark/>
          </w:tcPr>
          <w:p w:rsidR="00D6513E" w:rsidRPr="007D2747" w:rsidRDefault="00D6513E" w:rsidP="00A05CDB">
            <w:pPr>
              <w:spacing w:line="276" w:lineRule="auto"/>
              <w:jc w:val="center"/>
              <w:rPr>
                <w:color w:val="000000"/>
                <w:sz w:val="24"/>
                <w:szCs w:val="24"/>
                <w:lang w:eastAsia="cs-CZ"/>
              </w:rPr>
            </w:pPr>
            <w:r w:rsidRPr="007D2747">
              <w:rPr>
                <w:color w:val="000000"/>
                <w:sz w:val="24"/>
                <w:szCs w:val="24"/>
                <w:lang w:eastAsia="cs-CZ"/>
              </w:rPr>
              <w:t>Datum</w:t>
            </w:r>
          </w:p>
        </w:tc>
        <w:tc>
          <w:tcPr>
            <w:tcW w:w="1834" w:type="dxa"/>
            <w:noWrap/>
            <w:vAlign w:val="center"/>
            <w:hideMark/>
          </w:tcPr>
          <w:p w:rsidR="00D6513E" w:rsidRPr="007D2747" w:rsidRDefault="00D6513E" w:rsidP="00A05CDB">
            <w:pPr>
              <w:spacing w:line="276" w:lineRule="auto"/>
              <w:jc w:val="center"/>
              <w:cnfStyle w:val="100000000000"/>
              <w:rPr>
                <w:color w:val="000000"/>
                <w:sz w:val="24"/>
                <w:szCs w:val="24"/>
                <w:lang w:eastAsia="cs-CZ"/>
              </w:rPr>
            </w:pPr>
            <w:r>
              <w:rPr>
                <w:color w:val="000000"/>
                <w:sz w:val="24"/>
                <w:szCs w:val="24"/>
                <w:lang w:eastAsia="cs-CZ"/>
              </w:rPr>
              <w:t>Spotový kurz</w:t>
            </w:r>
          </w:p>
        </w:tc>
        <w:tc>
          <w:tcPr>
            <w:tcW w:w="1134" w:type="dxa"/>
            <w:noWrap/>
            <w:vAlign w:val="center"/>
            <w:hideMark/>
          </w:tcPr>
          <w:p w:rsidR="00D6513E" w:rsidRPr="007D2747" w:rsidRDefault="00D6513E" w:rsidP="00A05CDB">
            <w:pPr>
              <w:spacing w:line="276" w:lineRule="auto"/>
              <w:jc w:val="center"/>
              <w:cnfStyle w:val="100000000000"/>
              <w:rPr>
                <w:color w:val="000000"/>
                <w:sz w:val="24"/>
                <w:szCs w:val="24"/>
                <w:lang w:eastAsia="cs-CZ"/>
              </w:rPr>
            </w:pPr>
            <w:r w:rsidRPr="007D2747">
              <w:rPr>
                <w:color w:val="000000"/>
                <w:sz w:val="24"/>
                <w:szCs w:val="24"/>
                <w:lang w:eastAsia="cs-CZ"/>
              </w:rPr>
              <w:t>C</w:t>
            </w:r>
          </w:p>
        </w:tc>
        <w:tc>
          <w:tcPr>
            <w:tcW w:w="1881" w:type="dxa"/>
            <w:noWrap/>
            <w:vAlign w:val="center"/>
            <w:hideMark/>
          </w:tcPr>
          <w:p w:rsidR="00D6513E" w:rsidRPr="007D2747" w:rsidRDefault="00D6513E" w:rsidP="00A05CDB">
            <w:pPr>
              <w:spacing w:line="276" w:lineRule="auto"/>
              <w:jc w:val="center"/>
              <w:cnfStyle w:val="100000000000"/>
              <w:rPr>
                <w:color w:val="000000"/>
                <w:sz w:val="24"/>
                <w:szCs w:val="24"/>
                <w:lang w:eastAsia="cs-CZ"/>
              </w:rPr>
            </w:pPr>
            <w:r>
              <w:rPr>
                <w:color w:val="000000"/>
                <w:sz w:val="24"/>
                <w:szCs w:val="24"/>
                <w:lang w:eastAsia="cs-CZ"/>
              </w:rPr>
              <w:t>O</w:t>
            </w:r>
            <w:r w:rsidRPr="007D2747">
              <w:rPr>
                <w:color w:val="000000"/>
                <w:sz w:val="24"/>
                <w:szCs w:val="24"/>
                <w:lang w:eastAsia="cs-CZ"/>
              </w:rPr>
              <w:t>pční prémie</w:t>
            </w:r>
          </w:p>
        </w:tc>
      </w:tr>
      <w:tr w:rsidR="00D6513E" w:rsidRPr="007D2747" w:rsidTr="001433CF">
        <w:trPr>
          <w:cnfStyle w:val="000000100000"/>
          <w:trHeight w:val="300"/>
          <w:jc w:val="center"/>
        </w:trPr>
        <w:tc>
          <w:tcPr>
            <w:cnfStyle w:val="001000000000"/>
            <w:tcW w:w="1640" w:type="dxa"/>
            <w:shd w:val="clear" w:color="auto" w:fill="D9D9D9" w:themeFill="background1" w:themeFillShade="D9"/>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7. 2. 2013</w:t>
            </w:r>
          </w:p>
        </w:tc>
        <w:tc>
          <w:tcPr>
            <w:tcW w:w="18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1,339764</w:t>
            </w:r>
          </w:p>
        </w:tc>
        <w:tc>
          <w:tcPr>
            <w:tcW w:w="11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p>
        </w:tc>
        <w:tc>
          <w:tcPr>
            <w:tcW w:w="1881"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p>
        </w:tc>
      </w:tr>
      <w:tr w:rsidR="00D6513E" w:rsidRPr="007D2747" w:rsidTr="00A05CDB">
        <w:trPr>
          <w:trHeight w:val="300"/>
          <w:jc w:val="center"/>
        </w:trPr>
        <w:tc>
          <w:tcPr>
            <w:cnfStyle w:val="001000000000"/>
            <w:tcW w:w="1640" w:type="dxa"/>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7. 8. 2013</w:t>
            </w:r>
          </w:p>
        </w:tc>
        <w:tc>
          <w:tcPr>
            <w:tcW w:w="18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1,106929</w:t>
            </w:r>
          </w:p>
        </w:tc>
        <w:tc>
          <w:tcPr>
            <w:tcW w:w="11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0,0568</w:t>
            </w:r>
          </w:p>
        </w:tc>
        <w:tc>
          <w:tcPr>
            <w:tcW w:w="1881" w:type="dxa"/>
            <w:noWrap/>
            <w:vAlign w:val="center"/>
            <w:hideMark/>
          </w:tcPr>
          <w:p w:rsidR="00D6513E" w:rsidRPr="000B1E45" w:rsidRDefault="00D6513E" w:rsidP="00A05CDB">
            <w:pPr>
              <w:spacing w:line="276" w:lineRule="auto"/>
              <w:jc w:val="center"/>
              <w:cnfStyle w:val="000000000000"/>
              <w:rPr>
                <w:color w:val="000000"/>
                <w:sz w:val="24"/>
              </w:rPr>
            </w:pPr>
            <w:r w:rsidRPr="000B1E45">
              <w:rPr>
                <w:color w:val="000000"/>
                <w:sz w:val="24"/>
              </w:rPr>
              <w:t>5 683,16</w:t>
            </w:r>
          </w:p>
        </w:tc>
      </w:tr>
      <w:tr w:rsidR="00D6513E" w:rsidRPr="007D2747" w:rsidTr="001433CF">
        <w:trPr>
          <w:cnfStyle w:val="000000100000"/>
          <w:trHeight w:val="300"/>
          <w:jc w:val="center"/>
        </w:trPr>
        <w:tc>
          <w:tcPr>
            <w:cnfStyle w:val="001000000000"/>
            <w:tcW w:w="1640" w:type="dxa"/>
            <w:shd w:val="clear" w:color="auto" w:fill="D9D9D9" w:themeFill="background1" w:themeFillShade="D9"/>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7. 2. 2014</w:t>
            </w:r>
          </w:p>
        </w:tc>
        <w:tc>
          <w:tcPr>
            <w:tcW w:w="18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1,155135</w:t>
            </w:r>
          </w:p>
        </w:tc>
        <w:tc>
          <w:tcPr>
            <w:tcW w:w="11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0,0804</w:t>
            </w:r>
          </w:p>
        </w:tc>
        <w:tc>
          <w:tcPr>
            <w:tcW w:w="1881" w:type="dxa"/>
            <w:shd w:val="clear" w:color="auto" w:fill="D9D9D9" w:themeFill="background1" w:themeFillShade="D9"/>
            <w:noWrap/>
            <w:vAlign w:val="center"/>
            <w:hideMark/>
          </w:tcPr>
          <w:p w:rsidR="00D6513E" w:rsidRPr="000B1E45" w:rsidRDefault="00D6513E" w:rsidP="00A05CDB">
            <w:pPr>
              <w:spacing w:line="276" w:lineRule="auto"/>
              <w:jc w:val="center"/>
              <w:cnfStyle w:val="000000100000"/>
              <w:rPr>
                <w:color w:val="000000"/>
                <w:sz w:val="24"/>
              </w:rPr>
            </w:pPr>
            <w:r w:rsidRPr="000B1E45">
              <w:rPr>
                <w:color w:val="000000"/>
                <w:sz w:val="24"/>
              </w:rPr>
              <w:t>8 040,42</w:t>
            </w:r>
          </w:p>
        </w:tc>
      </w:tr>
      <w:tr w:rsidR="00D6513E" w:rsidRPr="007D2747" w:rsidTr="00A05CDB">
        <w:trPr>
          <w:trHeight w:val="300"/>
          <w:jc w:val="center"/>
        </w:trPr>
        <w:tc>
          <w:tcPr>
            <w:cnfStyle w:val="001000000000"/>
            <w:tcW w:w="1640" w:type="dxa"/>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7. 8. 2014</w:t>
            </w:r>
          </w:p>
        </w:tc>
        <w:tc>
          <w:tcPr>
            <w:tcW w:w="18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1,359434</w:t>
            </w:r>
          </w:p>
        </w:tc>
        <w:tc>
          <w:tcPr>
            <w:tcW w:w="11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0,0985</w:t>
            </w:r>
          </w:p>
        </w:tc>
        <w:tc>
          <w:tcPr>
            <w:tcW w:w="1881" w:type="dxa"/>
            <w:noWrap/>
            <w:vAlign w:val="center"/>
            <w:hideMark/>
          </w:tcPr>
          <w:p w:rsidR="00D6513E" w:rsidRPr="000B1E45" w:rsidRDefault="00D6513E" w:rsidP="00A05CDB">
            <w:pPr>
              <w:spacing w:line="276" w:lineRule="auto"/>
              <w:jc w:val="center"/>
              <w:cnfStyle w:val="000000000000"/>
              <w:rPr>
                <w:color w:val="000000"/>
                <w:sz w:val="24"/>
              </w:rPr>
            </w:pPr>
            <w:r w:rsidRPr="000B1E45">
              <w:rPr>
                <w:color w:val="000000"/>
                <w:sz w:val="24"/>
              </w:rPr>
              <w:t>9 848,06</w:t>
            </w:r>
          </w:p>
        </w:tc>
      </w:tr>
      <w:tr w:rsidR="00D6513E" w:rsidRPr="007D2747" w:rsidTr="001433CF">
        <w:trPr>
          <w:cnfStyle w:val="000000100000"/>
          <w:trHeight w:val="300"/>
          <w:jc w:val="center"/>
        </w:trPr>
        <w:tc>
          <w:tcPr>
            <w:cnfStyle w:val="001000000000"/>
            <w:tcW w:w="1640" w:type="dxa"/>
            <w:shd w:val="clear" w:color="auto" w:fill="D9D9D9" w:themeFill="background1" w:themeFillShade="D9"/>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7. 2. 2015</w:t>
            </w:r>
          </w:p>
        </w:tc>
        <w:tc>
          <w:tcPr>
            <w:tcW w:w="18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1,032738</w:t>
            </w:r>
          </w:p>
        </w:tc>
        <w:tc>
          <w:tcPr>
            <w:tcW w:w="11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0,1137</w:t>
            </w:r>
          </w:p>
        </w:tc>
        <w:tc>
          <w:tcPr>
            <w:tcW w:w="1881"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11 370,24</w:t>
            </w:r>
          </w:p>
        </w:tc>
      </w:tr>
      <w:tr w:rsidR="00D6513E" w:rsidRPr="007D2747" w:rsidTr="00A05CDB">
        <w:trPr>
          <w:trHeight w:val="300"/>
          <w:jc w:val="center"/>
        </w:trPr>
        <w:tc>
          <w:tcPr>
            <w:cnfStyle w:val="001000000000"/>
            <w:tcW w:w="1640" w:type="dxa"/>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7. 8. 2015</w:t>
            </w:r>
          </w:p>
        </w:tc>
        <w:tc>
          <w:tcPr>
            <w:tcW w:w="18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1,003311</w:t>
            </w:r>
          </w:p>
        </w:tc>
        <w:tc>
          <w:tcPr>
            <w:tcW w:w="11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0,1271</w:t>
            </w:r>
          </w:p>
        </w:tc>
        <w:tc>
          <w:tcPr>
            <w:tcW w:w="1881"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12 709,41</w:t>
            </w:r>
          </w:p>
        </w:tc>
      </w:tr>
      <w:tr w:rsidR="00D6513E" w:rsidRPr="007D2747" w:rsidTr="001433CF">
        <w:trPr>
          <w:cnfStyle w:val="000000100000"/>
          <w:trHeight w:val="300"/>
          <w:jc w:val="center"/>
        </w:trPr>
        <w:tc>
          <w:tcPr>
            <w:cnfStyle w:val="001000000000"/>
            <w:tcW w:w="1640" w:type="dxa"/>
            <w:shd w:val="clear" w:color="auto" w:fill="D9D9D9" w:themeFill="background1" w:themeFillShade="D9"/>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7. 2. 2016</w:t>
            </w:r>
          </w:p>
        </w:tc>
        <w:tc>
          <w:tcPr>
            <w:tcW w:w="18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1,201346</w:t>
            </w:r>
          </w:p>
        </w:tc>
        <w:tc>
          <w:tcPr>
            <w:tcW w:w="11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0,1392</w:t>
            </w:r>
          </w:p>
        </w:tc>
        <w:tc>
          <w:tcPr>
            <w:tcW w:w="1881"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13 918,18</w:t>
            </w:r>
          </w:p>
        </w:tc>
      </w:tr>
      <w:tr w:rsidR="00D6513E" w:rsidRPr="007D2747" w:rsidTr="00A05CDB">
        <w:trPr>
          <w:trHeight w:val="300"/>
          <w:jc w:val="center"/>
        </w:trPr>
        <w:tc>
          <w:tcPr>
            <w:cnfStyle w:val="001000000000"/>
            <w:tcW w:w="1640" w:type="dxa"/>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7. 8. 2016</w:t>
            </w:r>
          </w:p>
        </w:tc>
        <w:tc>
          <w:tcPr>
            <w:tcW w:w="18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1,239618</w:t>
            </w:r>
          </w:p>
        </w:tc>
        <w:tc>
          <w:tcPr>
            <w:tcW w:w="11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0,1503</w:t>
            </w:r>
          </w:p>
        </w:tc>
        <w:tc>
          <w:tcPr>
            <w:tcW w:w="1881"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15 027,83</w:t>
            </w:r>
          </w:p>
        </w:tc>
      </w:tr>
      <w:tr w:rsidR="00D6513E" w:rsidRPr="007D2747" w:rsidTr="001433CF">
        <w:trPr>
          <w:cnfStyle w:val="000000100000"/>
          <w:trHeight w:val="300"/>
          <w:jc w:val="center"/>
        </w:trPr>
        <w:tc>
          <w:tcPr>
            <w:cnfStyle w:val="001000000000"/>
            <w:tcW w:w="1640" w:type="dxa"/>
            <w:shd w:val="clear" w:color="auto" w:fill="D9D9D9" w:themeFill="background1" w:themeFillShade="D9"/>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7. 2. 2017</w:t>
            </w:r>
          </w:p>
        </w:tc>
        <w:tc>
          <w:tcPr>
            <w:tcW w:w="18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1,277466</w:t>
            </w:r>
          </w:p>
        </w:tc>
        <w:tc>
          <w:tcPr>
            <w:tcW w:w="11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0,1606</w:t>
            </w:r>
          </w:p>
        </w:tc>
        <w:tc>
          <w:tcPr>
            <w:tcW w:w="1881"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16 058,75</w:t>
            </w:r>
          </w:p>
        </w:tc>
      </w:tr>
      <w:tr w:rsidR="00D6513E" w:rsidRPr="007D2747" w:rsidTr="00A05CDB">
        <w:trPr>
          <w:trHeight w:val="300"/>
          <w:jc w:val="center"/>
        </w:trPr>
        <w:tc>
          <w:tcPr>
            <w:cnfStyle w:val="001000000000"/>
            <w:tcW w:w="1640" w:type="dxa"/>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7. 8. 2017</w:t>
            </w:r>
          </w:p>
        </w:tc>
        <w:tc>
          <w:tcPr>
            <w:tcW w:w="18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1,376084</w:t>
            </w:r>
          </w:p>
        </w:tc>
        <w:tc>
          <w:tcPr>
            <w:tcW w:w="1134"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0,1703</w:t>
            </w:r>
          </w:p>
        </w:tc>
        <w:tc>
          <w:tcPr>
            <w:tcW w:w="1881" w:type="dxa"/>
            <w:noWrap/>
            <w:vAlign w:val="center"/>
            <w:hideMark/>
          </w:tcPr>
          <w:p w:rsidR="00D6513E" w:rsidRPr="007D2747" w:rsidRDefault="00D6513E" w:rsidP="00A05CDB">
            <w:pPr>
              <w:spacing w:line="276" w:lineRule="auto"/>
              <w:jc w:val="center"/>
              <w:cnfStyle w:val="000000000000"/>
              <w:rPr>
                <w:color w:val="000000"/>
                <w:sz w:val="24"/>
                <w:szCs w:val="24"/>
                <w:lang w:eastAsia="cs-CZ"/>
              </w:rPr>
            </w:pPr>
            <w:r w:rsidRPr="007D2747">
              <w:rPr>
                <w:color w:val="000000"/>
                <w:sz w:val="24"/>
                <w:szCs w:val="24"/>
                <w:lang w:eastAsia="cs-CZ"/>
              </w:rPr>
              <w:t>17 025,15</w:t>
            </w:r>
          </w:p>
        </w:tc>
      </w:tr>
      <w:tr w:rsidR="00D6513E" w:rsidRPr="007D2747" w:rsidTr="001433CF">
        <w:trPr>
          <w:cnfStyle w:val="000000100000"/>
          <w:trHeight w:val="300"/>
          <w:jc w:val="center"/>
        </w:trPr>
        <w:tc>
          <w:tcPr>
            <w:cnfStyle w:val="001000000000"/>
            <w:tcW w:w="1640" w:type="dxa"/>
            <w:shd w:val="clear" w:color="auto" w:fill="D9D9D9" w:themeFill="background1" w:themeFillShade="D9"/>
            <w:noWrap/>
            <w:vAlign w:val="center"/>
            <w:hideMark/>
          </w:tcPr>
          <w:p w:rsidR="00D6513E" w:rsidRPr="00CC3BBC" w:rsidRDefault="00D6513E" w:rsidP="00A05CDB">
            <w:pPr>
              <w:spacing w:line="276" w:lineRule="auto"/>
              <w:jc w:val="center"/>
              <w:rPr>
                <w:b w:val="0"/>
                <w:color w:val="000000"/>
                <w:sz w:val="24"/>
                <w:szCs w:val="24"/>
                <w:lang w:eastAsia="cs-CZ"/>
              </w:rPr>
            </w:pPr>
            <w:r w:rsidRPr="00CC3BBC">
              <w:rPr>
                <w:b w:val="0"/>
                <w:color w:val="000000"/>
                <w:sz w:val="24"/>
                <w:szCs w:val="24"/>
                <w:lang w:eastAsia="cs-CZ"/>
              </w:rPr>
              <w:t>7. 2. 2018</w:t>
            </w:r>
          </w:p>
        </w:tc>
        <w:tc>
          <w:tcPr>
            <w:tcW w:w="18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1,546073</w:t>
            </w:r>
          </w:p>
        </w:tc>
        <w:tc>
          <w:tcPr>
            <w:tcW w:w="1134" w:type="dxa"/>
            <w:shd w:val="clear" w:color="auto" w:fill="D9D9D9" w:themeFill="background1" w:themeFillShade="D9"/>
            <w:noWrap/>
            <w:vAlign w:val="center"/>
            <w:hideMark/>
          </w:tcPr>
          <w:p w:rsidR="00D6513E" w:rsidRPr="007D2747" w:rsidRDefault="00D6513E" w:rsidP="00A05CDB">
            <w:pPr>
              <w:spacing w:line="276" w:lineRule="auto"/>
              <w:jc w:val="center"/>
              <w:cnfStyle w:val="000000100000"/>
              <w:rPr>
                <w:color w:val="000000"/>
                <w:sz w:val="24"/>
                <w:szCs w:val="24"/>
                <w:lang w:eastAsia="cs-CZ"/>
              </w:rPr>
            </w:pPr>
            <w:r w:rsidRPr="007D2747">
              <w:rPr>
                <w:color w:val="000000"/>
                <w:sz w:val="24"/>
                <w:szCs w:val="24"/>
                <w:lang w:eastAsia="cs-CZ"/>
              </w:rPr>
              <w:t>0,1794</w:t>
            </w:r>
          </w:p>
        </w:tc>
        <w:tc>
          <w:tcPr>
            <w:tcW w:w="1881" w:type="dxa"/>
            <w:shd w:val="clear" w:color="auto" w:fill="D9D9D9" w:themeFill="background1" w:themeFillShade="D9"/>
            <w:noWrap/>
            <w:vAlign w:val="center"/>
            <w:hideMark/>
          </w:tcPr>
          <w:p w:rsidR="00D6513E" w:rsidRPr="007D2747" w:rsidRDefault="00D6513E" w:rsidP="00A05CDB">
            <w:pPr>
              <w:keepNext/>
              <w:spacing w:line="276" w:lineRule="auto"/>
              <w:jc w:val="center"/>
              <w:cnfStyle w:val="000000100000"/>
              <w:rPr>
                <w:color w:val="000000"/>
                <w:sz w:val="24"/>
                <w:szCs w:val="24"/>
                <w:lang w:eastAsia="cs-CZ"/>
              </w:rPr>
            </w:pPr>
            <w:r w:rsidRPr="007D2747">
              <w:rPr>
                <w:color w:val="000000"/>
                <w:sz w:val="24"/>
                <w:szCs w:val="24"/>
                <w:lang w:eastAsia="cs-CZ"/>
              </w:rPr>
              <w:t>17 937,36</w:t>
            </w:r>
          </w:p>
        </w:tc>
      </w:tr>
    </w:tbl>
    <w:p w:rsidR="0082379B" w:rsidRDefault="00A05CDB" w:rsidP="00A05CDB">
      <w:pPr>
        <w:spacing w:before="240" w:line="276" w:lineRule="auto"/>
        <w:jc w:val="both"/>
        <w:rPr>
          <w:rFonts w:eastAsiaTheme="minorEastAsia"/>
          <w:i/>
          <w:sz w:val="20"/>
        </w:rPr>
      </w:pPr>
      <w:r>
        <w:rPr>
          <w:rFonts w:eastAsiaTheme="minorEastAsia"/>
          <w:i/>
          <w:sz w:val="20"/>
        </w:rPr>
        <w:t xml:space="preserve">Pramen: Vlastní zpracování. </w:t>
      </w:r>
    </w:p>
    <w:p w:rsidR="00A05CDB" w:rsidRPr="00A05CDB" w:rsidRDefault="0082379B" w:rsidP="00A05CDB">
      <w:pPr>
        <w:spacing w:after="240" w:line="276" w:lineRule="auto"/>
        <w:jc w:val="both"/>
        <w:rPr>
          <w:rFonts w:eastAsiaTheme="minorEastAsia"/>
          <w:i/>
          <w:sz w:val="20"/>
        </w:rPr>
      </w:pPr>
      <w:r>
        <w:rPr>
          <w:rFonts w:eastAsiaTheme="minorEastAsia"/>
          <w:i/>
          <w:sz w:val="20"/>
        </w:rPr>
        <w:t>Měnové</w:t>
      </w:r>
      <w:r w:rsidR="00773EBA">
        <w:rPr>
          <w:rFonts w:eastAsiaTheme="minorEastAsia"/>
          <w:i/>
          <w:sz w:val="20"/>
        </w:rPr>
        <w:t xml:space="preserve"> kurz</w:t>
      </w:r>
      <w:r>
        <w:rPr>
          <w:rFonts w:eastAsiaTheme="minorEastAsia"/>
          <w:i/>
          <w:sz w:val="20"/>
        </w:rPr>
        <w:t>y</w:t>
      </w:r>
      <w:r w:rsidR="00773EBA">
        <w:rPr>
          <w:rFonts w:eastAsiaTheme="minorEastAsia"/>
          <w:i/>
          <w:sz w:val="20"/>
        </w:rPr>
        <w:t xml:space="preserve"> uvedeny v USD/EUR,</w:t>
      </w:r>
      <w:r>
        <w:rPr>
          <w:rFonts w:eastAsiaTheme="minorEastAsia"/>
          <w:i/>
          <w:sz w:val="20"/>
        </w:rPr>
        <w:t xml:space="preserve"> platby uvedeny v dolarech.</w:t>
      </w:r>
    </w:p>
    <w:p w:rsidR="00110739" w:rsidRDefault="00110739" w:rsidP="00D6513E">
      <w:pPr>
        <w:spacing w:after="240" w:line="276" w:lineRule="auto"/>
        <w:jc w:val="both"/>
        <w:rPr>
          <w:rFonts w:eastAsiaTheme="minorEastAsia"/>
        </w:rPr>
      </w:pPr>
    </w:p>
    <w:p w:rsidR="00D6513E" w:rsidRDefault="00D6513E" w:rsidP="00D6513E">
      <w:pPr>
        <w:spacing w:after="240" w:line="276" w:lineRule="auto"/>
        <w:jc w:val="both"/>
        <w:rPr>
          <w:rFonts w:eastAsiaTheme="minorEastAsia"/>
        </w:rPr>
      </w:pPr>
      <w:r>
        <w:rPr>
          <w:rFonts w:eastAsiaTheme="minorEastAsia"/>
        </w:rPr>
        <w:t xml:space="preserve">V Tabulce </w:t>
      </w:r>
      <w:r w:rsidR="00773EBA">
        <w:rPr>
          <w:rFonts w:eastAsiaTheme="minorEastAsia"/>
        </w:rPr>
        <w:t>15</w:t>
      </w:r>
      <w:r>
        <w:rPr>
          <w:rFonts w:eastAsiaTheme="minorEastAsia"/>
        </w:rPr>
        <w:t xml:space="preserve"> jsou uvedeny hodnoty opčních prémií prodaných call opcí. Opět dochází k růstu opční prémie s růstem doby do splatnosti prodané opce. Tentokrát je ovšem opční prémie ziskem společnosti </w:t>
      </w:r>
      <w:r w:rsidR="00361DA1">
        <w:rPr>
          <w:rFonts w:eastAsiaTheme="minorEastAsia"/>
        </w:rPr>
        <w:t>Delor</w:t>
      </w:r>
      <w:r w:rsidR="00773EBA">
        <w:rPr>
          <w:rFonts w:eastAsiaTheme="minorEastAsia"/>
        </w:rPr>
        <w:t>.</w:t>
      </w:r>
    </w:p>
    <w:p w:rsidR="00D6513E" w:rsidRDefault="00D6513E" w:rsidP="00D6513E">
      <w:pPr>
        <w:spacing w:after="240" w:line="276" w:lineRule="auto"/>
        <w:jc w:val="both"/>
        <w:rPr>
          <w:rFonts w:eastAsiaTheme="minorEastAsia"/>
        </w:rPr>
      </w:pPr>
    </w:p>
    <w:p w:rsidR="00773EBA" w:rsidRPr="00773EBA" w:rsidRDefault="00773EBA" w:rsidP="00773EBA">
      <w:pPr>
        <w:pStyle w:val="Titulek"/>
        <w:keepNext/>
        <w:spacing w:line="276" w:lineRule="auto"/>
        <w:jc w:val="both"/>
        <w:rPr>
          <w:rFonts w:ascii="Times New Roman" w:hAnsi="Times New Roman" w:cs="Times New Roman"/>
          <w:b w:val="0"/>
          <w:color w:val="auto"/>
          <w:sz w:val="24"/>
        </w:rPr>
      </w:pPr>
      <w:bookmarkStart w:id="102" w:name="_Toc354393039"/>
      <w:r w:rsidRPr="00773EBA">
        <w:rPr>
          <w:rFonts w:ascii="Times New Roman" w:hAnsi="Times New Roman" w:cs="Times New Roman"/>
          <w:b w:val="0"/>
          <w:color w:val="auto"/>
          <w:sz w:val="24"/>
        </w:rPr>
        <w:t xml:space="preserve">Tabulka </w:t>
      </w:r>
      <w:r w:rsidR="00FA567C" w:rsidRPr="00773EBA">
        <w:rPr>
          <w:rFonts w:ascii="Times New Roman" w:hAnsi="Times New Roman" w:cs="Times New Roman"/>
          <w:b w:val="0"/>
          <w:color w:val="auto"/>
          <w:sz w:val="24"/>
        </w:rPr>
        <w:fldChar w:fldCharType="begin"/>
      </w:r>
      <w:r w:rsidRPr="00773EBA">
        <w:rPr>
          <w:rFonts w:ascii="Times New Roman" w:hAnsi="Times New Roman" w:cs="Times New Roman"/>
          <w:b w:val="0"/>
          <w:color w:val="auto"/>
          <w:sz w:val="24"/>
        </w:rPr>
        <w:instrText xml:space="preserve"> SEQ Tabulka \* ARABIC </w:instrText>
      </w:r>
      <w:r w:rsidR="00FA567C" w:rsidRPr="00773EBA">
        <w:rPr>
          <w:rFonts w:ascii="Times New Roman" w:hAnsi="Times New Roman" w:cs="Times New Roman"/>
          <w:b w:val="0"/>
          <w:color w:val="auto"/>
          <w:sz w:val="24"/>
        </w:rPr>
        <w:fldChar w:fldCharType="separate"/>
      </w:r>
      <w:r w:rsidR="00E477F4">
        <w:rPr>
          <w:rFonts w:ascii="Times New Roman" w:hAnsi="Times New Roman" w:cs="Times New Roman"/>
          <w:b w:val="0"/>
          <w:noProof/>
          <w:color w:val="auto"/>
          <w:sz w:val="24"/>
        </w:rPr>
        <w:t>16</w:t>
      </w:r>
      <w:r w:rsidR="00FA567C" w:rsidRPr="00773EBA">
        <w:rPr>
          <w:rFonts w:ascii="Times New Roman" w:hAnsi="Times New Roman" w:cs="Times New Roman"/>
          <w:b w:val="0"/>
          <w:color w:val="auto"/>
          <w:sz w:val="24"/>
        </w:rPr>
        <w:fldChar w:fldCharType="end"/>
      </w:r>
      <w:r w:rsidRPr="00773EBA">
        <w:rPr>
          <w:rFonts w:ascii="Times New Roman" w:hAnsi="Times New Roman" w:cs="Times New Roman"/>
          <w:b w:val="0"/>
          <w:color w:val="auto"/>
          <w:sz w:val="24"/>
        </w:rPr>
        <w:t>: Výsledné hodnoty short call opcí</w:t>
      </w:r>
      <w:bookmarkEnd w:id="102"/>
    </w:p>
    <w:tbl>
      <w:tblPr>
        <w:tblStyle w:val="Svtlstnovn1"/>
        <w:tblW w:w="9039" w:type="dxa"/>
        <w:tblLook w:val="04E0"/>
      </w:tblPr>
      <w:tblGrid>
        <w:gridCol w:w="1242"/>
        <w:gridCol w:w="1276"/>
        <w:gridCol w:w="1843"/>
        <w:gridCol w:w="1843"/>
        <w:gridCol w:w="1230"/>
        <w:gridCol w:w="1605"/>
      </w:tblGrid>
      <w:tr w:rsidR="00D6513E" w:rsidRPr="000B1E45" w:rsidTr="00773EBA">
        <w:trPr>
          <w:cnfStyle w:val="100000000000"/>
          <w:trHeight w:val="300"/>
        </w:trPr>
        <w:tc>
          <w:tcPr>
            <w:cnfStyle w:val="001000000000"/>
            <w:tcW w:w="1242" w:type="dxa"/>
            <w:noWrap/>
            <w:vAlign w:val="center"/>
            <w:hideMark/>
          </w:tcPr>
          <w:p w:rsidR="00D6513E" w:rsidRPr="000B1E45" w:rsidRDefault="00D6513E" w:rsidP="00773EBA">
            <w:pPr>
              <w:spacing w:line="276" w:lineRule="auto"/>
              <w:jc w:val="center"/>
              <w:rPr>
                <w:color w:val="000000"/>
                <w:sz w:val="24"/>
                <w:szCs w:val="24"/>
                <w:lang w:eastAsia="cs-CZ"/>
              </w:rPr>
            </w:pPr>
            <w:r w:rsidRPr="000B1E45">
              <w:rPr>
                <w:color w:val="000000"/>
                <w:sz w:val="24"/>
                <w:szCs w:val="24"/>
                <w:lang w:eastAsia="cs-CZ"/>
              </w:rPr>
              <w:t>Datum</w:t>
            </w:r>
          </w:p>
        </w:tc>
        <w:tc>
          <w:tcPr>
            <w:tcW w:w="1276" w:type="dxa"/>
            <w:noWrap/>
            <w:vAlign w:val="center"/>
            <w:hideMark/>
          </w:tcPr>
          <w:p w:rsidR="00D6513E" w:rsidRPr="000B1E45" w:rsidRDefault="00D6513E" w:rsidP="00773EBA">
            <w:pPr>
              <w:spacing w:line="276" w:lineRule="auto"/>
              <w:jc w:val="center"/>
              <w:cnfStyle w:val="100000000000"/>
              <w:rPr>
                <w:color w:val="000000"/>
                <w:sz w:val="24"/>
                <w:szCs w:val="24"/>
                <w:lang w:eastAsia="cs-CZ"/>
              </w:rPr>
            </w:pPr>
            <w:r>
              <w:rPr>
                <w:color w:val="000000"/>
                <w:sz w:val="24"/>
                <w:szCs w:val="24"/>
                <w:lang w:eastAsia="cs-CZ"/>
              </w:rPr>
              <w:t>Spotový kurz</w:t>
            </w:r>
          </w:p>
        </w:tc>
        <w:tc>
          <w:tcPr>
            <w:tcW w:w="1843" w:type="dxa"/>
            <w:noWrap/>
            <w:vAlign w:val="center"/>
            <w:hideMark/>
          </w:tcPr>
          <w:p w:rsidR="00D6513E" w:rsidRPr="000B1E45" w:rsidRDefault="00D6513E" w:rsidP="00773EBA">
            <w:pPr>
              <w:spacing w:line="276" w:lineRule="auto"/>
              <w:jc w:val="center"/>
              <w:cnfStyle w:val="100000000000"/>
              <w:rPr>
                <w:color w:val="000000"/>
                <w:sz w:val="24"/>
                <w:szCs w:val="24"/>
                <w:lang w:eastAsia="cs-CZ"/>
              </w:rPr>
            </w:pPr>
            <w:r>
              <w:rPr>
                <w:color w:val="000000"/>
                <w:sz w:val="24"/>
                <w:szCs w:val="24"/>
                <w:lang w:eastAsia="cs-CZ"/>
              </w:rPr>
              <w:t>Směna na spotovém trhu</w:t>
            </w:r>
          </w:p>
        </w:tc>
        <w:tc>
          <w:tcPr>
            <w:tcW w:w="1843" w:type="dxa"/>
            <w:noWrap/>
            <w:vAlign w:val="center"/>
            <w:hideMark/>
          </w:tcPr>
          <w:p w:rsidR="00D6513E" w:rsidRPr="000B1E45" w:rsidRDefault="00773EBA" w:rsidP="00773EBA">
            <w:pPr>
              <w:spacing w:line="276" w:lineRule="auto"/>
              <w:jc w:val="center"/>
              <w:cnfStyle w:val="100000000000"/>
              <w:rPr>
                <w:color w:val="000000"/>
                <w:sz w:val="24"/>
                <w:szCs w:val="24"/>
                <w:lang w:eastAsia="cs-CZ"/>
              </w:rPr>
            </w:pPr>
            <w:r>
              <w:rPr>
                <w:color w:val="000000"/>
                <w:sz w:val="24"/>
                <w:szCs w:val="24"/>
                <w:lang w:eastAsia="cs-CZ"/>
              </w:rPr>
              <w:t>Směna za realizační cenu</w:t>
            </w:r>
          </w:p>
        </w:tc>
        <w:tc>
          <w:tcPr>
            <w:tcW w:w="1230" w:type="dxa"/>
            <w:noWrap/>
            <w:vAlign w:val="center"/>
            <w:hideMark/>
          </w:tcPr>
          <w:p w:rsidR="00D6513E" w:rsidRPr="000B1E45" w:rsidRDefault="00D6513E" w:rsidP="00773EBA">
            <w:pPr>
              <w:spacing w:line="276" w:lineRule="auto"/>
              <w:jc w:val="center"/>
              <w:cnfStyle w:val="100000000000"/>
              <w:rPr>
                <w:color w:val="000000"/>
                <w:sz w:val="24"/>
                <w:szCs w:val="24"/>
                <w:lang w:eastAsia="cs-CZ"/>
              </w:rPr>
            </w:pPr>
            <w:r>
              <w:rPr>
                <w:color w:val="000000"/>
                <w:sz w:val="24"/>
                <w:szCs w:val="24"/>
                <w:lang w:eastAsia="cs-CZ"/>
              </w:rPr>
              <w:t>U</w:t>
            </w:r>
            <w:r w:rsidRPr="000B1E45">
              <w:rPr>
                <w:color w:val="000000"/>
                <w:sz w:val="24"/>
                <w:szCs w:val="24"/>
                <w:lang w:eastAsia="cs-CZ"/>
              </w:rPr>
              <w:t>platnění</w:t>
            </w:r>
            <w:r>
              <w:rPr>
                <w:color w:val="000000"/>
                <w:sz w:val="24"/>
                <w:szCs w:val="24"/>
                <w:lang w:eastAsia="cs-CZ"/>
              </w:rPr>
              <w:t xml:space="preserve"> opce</w:t>
            </w:r>
          </w:p>
        </w:tc>
        <w:tc>
          <w:tcPr>
            <w:tcW w:w="1605" w:type="dxa"/>
            <w:noWrap/>
            <w:vAlign w:val="center"/>
            <w:hideMark/>
          </w:tcPr>
          <w:p w:rsidR="00D6513E" w:rsidRPr="000B1E45" w:rsidRDefault="00773EBA" w:rsidP="00773EBA">
            <w:pPr>
              <w:spacing w:line="276" w:lineRule="auto"/>
              <w:jc w:val="center"/>
              <w:cnfStyle w:val="100000000000"/>
              <w:rPr>
                <w:color w:val="000000"/>
                <w:sz w:val="24"/>
                <w:szCs w:val="24"/>
                <w:lang w:eastAsia="cs-CZ"/>
              </w:rPr>
            </w:pPr>
            <w:r>
              <w:rPr>
                <w:color w:val="000000"/>
                <w:sz w:val="24"/>
                <w:szCs w:val="24"/>
                <w:lang w:eastAsia="cs-CZ"/>
              </w:rPr>
              <w:t>Reálně inkasovaná částka</w:t>
            </w:r>
          </w:p>
        </w:tc>
      </w:tr>
      <w:tr w:rsidR="00D6513E" w:rsidRPr="000B1E45" w:rsidTr="001433CF">
        <w:trPr>
          <w:cnfStyle w:val="000000100000"/>
          <w:trHeight w:val="300"/>
        </w:trPr>
        <w:tc>
          <w:tcPr>
            <w:cnfStyle w:val="001000000000"/>
            <w:tcW w:w="1242" w:type="dxa"/>
            <w:shd w:val="clear" w:color="auto" w:fill="D9D9D9" w:themeFill="background1" w:themeFillShade="D9"/>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7. 2. 2013</w:t>
            </w:r>
          </w:p>
        </w:tc>
        <w:tc>
          <w:tcPr>
            <w:tcW w:w="1276"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1,339764</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p>
        </w:tc>
        <w:tc>
          <w:tcPr>
            <w:tcW w:w="1230"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p>
        </w:tc>
        <w:tc>
          <w:tcPr>
            <w:tcW w:w="1605"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p>
        </w:tc>
      </w:tr>
      <w:tr w:rsidR="00D6513E" w:rsidRPr="000B1E45" w:rsidTr="00773EBA">
        <w:trPr>
          <w:trHeight w:val="300"/>
        </w:trPr>
        <w:tc>
          <w:tcPr>
            <w:cnfStyle w:val="001000000000"/>
            <w:tcW w:w="1242" w:type="dxa"/>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7. 8. 2013</w:t>
            </w:r>
          </w:p>
        </w:tc>
        <w:tc>
          <w:tcPr>
            <w:tcW w:w="1276"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1,106929</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110 692,94</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133 976,42</w:t>
            </w:r>
          </w:p>
        </w:tc>
        <w:tc>
          <w:tcPr>
            <w:tcW w:w="1230"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ne</w:t>
            </w:r>
          </w:p>
        </w:tc>
        <w:tc>
          <w:tcPr>
            <w:tcW w:w="1605"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116 376,10</w:t>
            </w:r>
          </w:p>
        </w:tc>
      </w:tr>
      <w:tr w:rsidR="00D6513E" w:rsidRPr="000B1E45" w:rsidTr="001433CF">
        <w:trPr>
          <w:cnfStyle w:val="000000100000"/>
          <w:trHeight w:val="300"/>
        </w:trPr>
        <w:tc>
          <w:tcPr>
            <w:cnfStyle w:val="001000000000"/>
            <w:tcW w:w="1242" w:type="dxa"/>
            <w:shd w:val="clear" w:color="auto" w:fill="D9D9D9" w:themeFill="background1" w:themeFillShade="D9"/>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7. 2. 2014</w:t>
            </w:r>
          </w:p>
        </w:tc>
        <w:tc>
          <w:tcPr>
            <w:tcW w:w="1276"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1,155135</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115 513,46</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133 976,42</w:t>
            </w:r>
          </w:p>
        </w:tc>
        <w:tc>
          <w:tcPr>
            <w:tcW w:w="1230"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ne</w:t>
            </w:r>
          </w:p>
        </w:tc>
        <w:tc>
          <w:tcPr>
            <w:tcW w:w="1605"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123 553,88</w:t>
            </w:r>
          </w:p>
        </w:tc>
      </w:tr>
      <w:tr w:rsidR="00D6513E" w:rsidRPr="000B1E45" w:rsidTr="00773EBA">
        <w:trPr>
          <w:trHeight w:val="300"/>
        </w:trPr>
        <w:tc>
          <w:tcPr>
            <w:cnfStyle w:val="001000000000"/>
            <w:tcW w:w="1242" w:type="dxa"/>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7. 8. 2014</w:t>
            </w:r>
          </w:p>
        </w:tc>
        <w:tc>
          <w:tcPr>
            <w:tcW w:w="1276"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1,359434</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135 943,45</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133 976,42</w:t>
            </w:r>
          </w:p>
        </w:tc>
        <w:tc>
          <w:tcPr>
            <w:tcW w:w="1230"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ano</w:t>
            </w:r>
          </w:p>
        </w:tc>
        <w:tc>
          <w:tcPr>
            <w:tcW w:w="1605"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143 824,48</w:t>
            </w:r>
          </w:p>
        </w:tc>
      </w:tr>
      <w:tr w:rsidR="00D6513E" w:rsidRPr="000B1E45" w:rsidTr="001433CF">
        <w:trPr>
          <w:cnfStyle w:val="000000100000"/>
          <w:trHeight w:val="300"/>
        </w:trPr>
        <w:tc>
          <w:tcPr>
            <w:cnfStyle w:val="001000000000"/>
            <w:tcW w:w="1242" w:type="dxa"/>
            <w:shd w:val="clear" w:color="auto" w:fill="D9D9D9" w:themeFill="background1" w:themeFillShade="D9"/>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7. 2. 2015</w:t>
            </w:r>
          </w:p>
        </w:tc>
        <w:tc>
          <w:tcPr>
            <w:tcW w:w="1276"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1,032738</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103 273,78</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133 976,42</w:t>
            </w:r>
          </w:p>
        </w:tc>
        <w:tc>
          <w:tcPr>
            <w:tcW w:w="1230"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ne</w:t>
            </w:r>
          </w:p>
        </w:tc>
        <w:tc>
          <w:tcPr>
            <w:tcW w:w="1605"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114 644,02</w:t>
            </w:r>
          </w:p>
        </w:tc>
      </w:tr>
      <w:tr w:rsidR="00D6513E" w:rsidRPr="000B1E45" w:rsidTr="00773EBA">
        <w:trPr>
          <w:trHeight w:val="300"/>
        </w:trPr>
        <w:tc>
          <w:tcPr>
            <w:cnfStyle w:val="001000000000"/>
            <w:tcW w:w="1242" w:type="dxa"/>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7. 8. 2015</w:t>
            </w:r>
          </w:p>
        </w:tc>
        <w:tc>
          <w:tcPr>
            <w:tcW w:w="1276"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1,003311</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100 331,09</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133 976,42</w:t>
            </w:r>
          </w:p>
        </w:tc>
        <w:tc>
          <w:tcPr>
            <w:tcW w:w="1230"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ne</w:t>
            </w:r>
          </w:p>
        </w:tc>
        <w:tc>
          <w:tcPr>
            <w:tcW w:w="1605"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113 040,50</w:t>
            </w:r>
          </w:p>
        </w:tc>
      </w:tr>
      <w:tr w:rsidR="00D6513E" w:rsidRPr="000B1E45" w:rsidTr="001433CF">
        <w:trPr>
          <w:cnfStyle w:val="000000100000"/>
          <w:trHeight w:val="300"/>
        </w:trPr>
        <w:tc>
          <w:tcPr>
            <w:cnfStyle w:val="001000000000"/>
            <w:tcW w:w="1242" w:type="dxa"/>
            <w:shd w:val="clear" w:color="auto" w:fill="D9D9D9" w:themeFill="background1" w:themeFillShade="D9"/>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7. 2. 2016</w:t>
            </w:r>
          </w:p>
        </w:tc>
        <w:tc>
          <w:tcPr>
            <w:tcW w:w="1276"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1,201346</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120 134,55</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133 976,42</w:t>
            </w:r>
          </w:p>
        </w:tc>
        <w:tc>
          <w:tcPr>
            <w:tcW w:w="1230"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ne</w:t>
            </w:r>
          </w:p>
        </w:tc>
        <w:tc>
          <w:tcPr>
            <w:tcW w:w="1605"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134 052,73</w:t>
            </w:r>
          </w:p>
        </w:tc>
      </w:tr>
      <w:tr w:rsidR="00D6513E" w:rsidRPr="000B1E45" w:rsidTr="00773EBA">
        <w:trPr>
          <w:trHeight w:val="300"/>
        </w:trPr>
        <w:tc>
          <w:tcPr>
            <w:cnfStyle w:val="001000000000"/>
            <w:tcW w:w="1242" w:type="dxa"/>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7. 8. 2016</w:t>
            </w:r>
          </w:p>
        </w:tc>
        <w:tc>
          <w:tcPr>
            <w:tcW w:w="1276"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1,239618</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123 961,82</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133 976,42</w:t>
            </w:r>
          </w:p>
        </w:tc>
        <w:tc>
          <w:tcPr>
            <w:tcW w:w="1230"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ne</w:t>
            </w:r>
          </w:p>
        </w:tc>
        <w:tc>
          <w:tcPr>
            <w:tcW w:w="1605"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138 989,65</w:t>
            </w:r>
          </w:p>
        </w:tc>
      </w:tr>
      <w:tr w:rsidR="00D6513E" w:rsidRPr="000B1E45" w:rsidTr="001433CF">
        <w:trPr>
          <w:cnfStyle w:val="000000100000"/>
          <w:trHeight w:val="300"/>
        </w:trPr>
        <w:tc>
          <w:tcPr>
            <w:cnfStyle w:val="001000000000"/>
            <w:tcW w:w="1242" w:type="dxa"/>
            <w:shd w:val="clear" w:color="auto" w:fill="D9D9D9" w:themeFill="background1" w:themeFillShade="D9"/>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7. 2. 2017</w:t>
            </w:r>
          </w:p>
        </w:tc>
        <w:tc>
          <w:tcPr>
            <w:tcW w:w="1276"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1,277466</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127 746,55</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133 976,42</w:t>
            </w:r>
          </w:p>
        </w:tc>
        <w:tc>
          <w:tcPr>
            <w:tcW w:w="1230"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ne</w:t>
            </w:r>
          </w:p>
        </w:tc>
        <w:tc>
          <w:tcPr>
            <w:tcW w:w="1605"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143 805,30</w:t>
            </w:r>
          </w:p>
        </w:tc>
      </w:tr>
      <w:tr w:rsidR="00D6513E" w:rsidRPr="000B1E45" w:rsidTr="00773EBA">
        <w:trPr>
          <w:trHeight w:val="300"/>
        </w:trPr>
        <w:tc>
          <w:tcPr>
            <w:cnfStyle w:val="001000000000"/>
            <w:tcW w:w="1242" w:type="dxa"/>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7. 8. 2017</w:t>
            </w:r>
          </w:p>
        </w:tc>
        <w:tc>
          <w:tcPr>
            <w:tcW w:w="1276"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1,376084</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137 608,37</w:t>
            </w:r>
          </w:p>
        </w:tc>
        <w:tc>
          <w:tcPr>
            <w:tcW w:w="1843"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133 976,42</w:t>
            </w:r>
          </w:p>
        </w:tc>
        <w:tc>
          <w:tcPr>
            <w:tcW w:w="1230"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ano</w:t>
            </w:r>
          </w:p>
        </w:tc>
        <w:tc>
          <w:tcPr>
            <w:tcW w:w="1605" w:type="dxa"/>
            <w:noWrap/>
            <w:vAlign w:val="center"/>
            <w:hideMark/>
          </w:tcPr>
          <w:p w:rsidR="00D6513E" w:rsidRPr="000B1E45" w:rsidRDefault="00D6513E" w:rsidP="00773EBA">
            <w:pPr>
              <w:spacing w:line="276" w:lineRule="auto"/>
              <w:jc w:val="center"/>
              <w:cnfStyle w:val="000000000000"/>
              <w:rPr>
                <w:color w:val="000000"/>
                <w:sz w:val="24"/>
                <w:szCs w:val="24"/>
                <w:lang w:eastAsia="cs-CZ"/>
              </w:rPr>
            </w:pPr>
            <w:r w:rsidRPr="000B1E45">
              <w:rPr>
                <w:color w:val="000000"/>
                <w:sz w:val="24"/>
                <w:szCs w:val="24"/>
                <w:lang w:eastAsia="cs-CZ"/>
              </w:rPr>
              <w:t>151 001,57</w:t>
            </w:r>
          </w:p>
        </w:tc>
      </w:tr>
      <w:tr w:rsidR="00D6513E" w:rsidRPr="000B1E45" w:rsidTr="001433CF">
        <w:trPr>
          <w:cnfStyle w:val="000000100000"/>
          <w:trHeight w:val="300"/>
        </w:trPr>
        <w:tc>
          <w:tcPr>
            <w:cnfStyle w:val="001000000000"/>
            <w:tcW w:w="1242" w:type="dxa"/>
            <w:shd w:val="clear" w:color="auto" w:fill="D9D9D9" w:themeFill="background1" w:themeFillShade="D9"/>
            <w:noWrap/>
            <w:vAlign w:val="center"/>
            <w:hideMark/>
          </w:tcPr>
          <w:p w:rsidR="00D6513E" w:rsidRPr="000B1E45" w:rsidRDefault="00D6513E" w:rsidP="00773EBA">
            <w:pPr>
              <w:spacing w:line="276" w:lineRule="auto"/>
              <w:jc w:val="center"/>
              <w:rPr>
                <w:b w:val="0"/>
                <w:color w:val="000000"/>
                <w:sz w:val="24"/>
                <w:szCs w:val="24"/>
                <w:lang w:eastAsia="cs-CZ"/>
              </w:rPr>
            </w:pPr>
            <w:r w:rsidRPr="000B1E45">
              <w:rPr>
                <w:b w:val="0"/>
                <w:color w:val="000000"/>
                <w:sz w:val="24"/>
                <w:szCs w:val="24"/>
                <w:lang w:eastAsia="cs-CZ"/>
              </w:rPr>
              <w:t>7. 2. 2018</w:t>
            </w:r>
          </w:p>
        </w:tc>
        <w:tc>
          <w:tcPr>
            <w:tcW w:w="1276"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1,546073</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154 607,30</w:t>
            </w:r>
          </w:p>
        </w:tc>
        <w:tc>
          <w:tcPr>
            <w:tcW w:w="1843"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133 976,42</w:t>
            </w:r>
          </w:p>
        </w:tc>
        <w:tc>
          <w:tcPr>
            <w:tcW w:w="1230"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000000"/>
                <w:sz w:val="24"/>
                <w:szCs w:val="24"/>
                <w:lang w:eastAsia="cs-CZ"/>
              </w:rPr>
            </w:pPr>
            <w:r w:rsidRPr="000B1E45">
              <w:rPr>
                <w:color w:val="000000"/>
                <w:sz w:val="24"/>
                <w:szCs w:val="24"/>
                <w:lang w:eastAsia="cs-CZ"/>
              </w:rPr>
              <w:t>ano</w:t>
            </w:r>
          </w:p>
        </w:tc>
        <w:tc>
          <w:tcPr>
            <w:tcW w:w="1605" w:type="dxa"/>
            <w:shd w:val="clear" w:color="auto" w:fill="D9D9D9" w:themeFill="background1" w:themeFillShade="D9"/>
            <w:noWrap/>
            <w:vAlign w:val="center"/>
            <w:hideMark/>
          </w:tcPr>
          <w:p w:rsidR="00D6513E" w:rsidRPr="000B1E45" w:rsidRDefault="00D6513E" w:rsidP="00773EBA">
            <w:pPr>
              <w:spacing w:line="276" w:lineRule="auto"/>
              <w:jc w:val="center"/>
              <w:cnfStyle w:val="000000100000"/>
              <w:rPr>
                <w:color w:val="FF0000"/>
                <w:sz w:val="24"/>
                <w:szCs w:val="24"/>
                <w:lang w:eastAsia="cs-CZ"/>
              </w:rPr>
            </w:pPr>
            <w:r w:rsidRPr="000B1E45">
              <w:rPr>
                <w:color w:val="FF0000"/>
                <w:sz w:val="24"/>
                <w:szCs w:val="24"/>
                <w:lang w:eastAsia="cs-CZ"/>
              </w:rPr>
              <w:t>151 913,78</w:t>
            </w:r>
          </w:p>
        </w:tc>
      </w:tr>
      <w:tr w:rsidR="00D6513E" w:rsidRPr="000B1E45" w:rsidTr="00773EBA">
        <w:trPr>
          <w:cnfStyle w:val="010000000000"/>
          <w:trHeight w:val="300"/>
        </w:trPr>
        <w:tc>
          <w:tcPr>
            <w:cnfStyle w:val="001000000000"/>
            <w:tcW w:w="1242" w:type="dxa"/>
            <w:noWrap/>
            <w:vAlign w:val="center"/>
            <w:hideMark/>
          </w:tcPr>
          <w:p w:rsidR="00D6513E" w:rsidRPr="000B1E45" w:rsidRDefault="00D6513E" w:rsidP="00773EBA">
            <w:pPr>
              <w:spacing w:line="276" w:lineRule="auto"/>
              <w:jc w:val="center"/>
              <w:rPr>
                <w:b w:val="0"/>
                <w:color w:val="000000"/>
                <w:szCs w:val="24"/>
                <w:lang w:eastAsia="cs-CZ"/>
              </w:rPr>
            </w:pPr>
          </w:p>
        </w:tc>
        <w:tc>
          <w:tcPr>
            <w:tcW w:w="1276" w:type="dxa"/>
            <w:noWrap/>
            <w:vAlign w:val="center"/>
            <w:hideMark/>
          </w:tcPr>
          <w:p w:rsidR="00D6513E" w:rsidRPr="000B1E45" w:rsidRDefault="00D6513E" w:rsidP="00773EBA">
            <w:pPr>
              <w:spacing w:line="276" w:lineRule="auto"/>
              <w:jc w:val="center"/>
              <w:cnfStyle w:val="010000000000"/>
              <w:rPr>
                <w:color w:val="000000"/>
                <w:szCs w:val="24"/>
                <w:lang w:eastAsia="cs-CZ"/>
              </w:rPr>
            </w:pPr>
          </w:p>
        </w:tc>
        <w:tc>
          <w:tcPr>
            <w:tcW w:w="1843" w:type="dxa"/>
            <w:noWrap/>
            <w:vAlign w:val="center"/>
            <w:hideMark/>
          </w:tcPr>
          <w:p w:rsidR="00D6513E" w:rsidRPr="000B1E45" w:rsidRDefault="00D6513E" w:rsidP="00773EBA">
            <w:pPr>
              <w:spacing w:line="276" w:lineRule="auto"/>
              <w:jc w:val="center"/>
              <w:cnfStyle w:val="010000000000"/>
              <w:rPr>
                <w:color w:val="000000"/>
                <w:szCs w:val="24"/>
                <w:lang w:eastAsia="cs-CZ"/>
              </w:rPr>
            </w:pPr>
          </w:p>
        </w:tc>
        <w:tc>
          <w:tcPr>
            <w:tcW w:w="1843" w:type="dxa"/>
            <w:noWrap/>
            <w:vAlign w:val="center"/>
            <w:hideMark/>
          </w:tcPr>
          <w:p w:rsidR="00D6513E" w:rsidRPr="000B1E45" w:rsidRDefault="00D6513E" w:rsidP="00773EBA">
            <w:pPr>
              <w:spacing w:line="276" w:lineRule="auto"/>
              <w:jc w:val="center"/>
              <w:cnfStyle w:val="010000000000"/>
              <w:rPr>
                <w:color w:val="000000"/>
                <w:szCs w:val="24"/>
                <w:lang w:eastAsia="cs-CZ"/>
              </w:rPr>
            </w:pPr>
          </w:p>
        </w:tc>
        <w:tc>
          <w:tcPr>
            <w:tcW w:w="1230" w:type="dxa"/>
            <w:noWrap/>
            <w:vAlign w:val="center"/>
            <w:hideMark/>
          </w:tcPr>
          <w:p w:rsidR="00D6513E" w:rsidRPr="000B1E45" w:rsidRDefault="00D6513E" w:rsidP="00773EBA">
            <w:pPr>
              <w:spacing w:line="276" w:lineRule="auto"/>
              <w:jc w:val="center"/>
              <w:cnfStyle w:val="010000000000"/>
              <w:rPr>
                <w:color w:val="000000"/>
                <w:szCs w:val="24"/>
                <w:lang w:eastAsia="cs-CZ"/>
              </w:rPr>
            </w:pPr>
          </w:p>
        </w:tc>
        <w:tc>
          <w:tcPr>
            <w:tcW w:w="1605" w:type="dxa"/>
            <w:noWrap/>
            <w:vAlign w:val="center"/>
            <w:hideMark/>
          </w:tcPr>
          <w:p w:rsidR="00D6513E" w:rsidRPr="000B1E45" w:rsidRDefault="00D6513E" w:rsidP="00773EBA">
            <w:pPr>
              <w:keepNext/>
              <w:spacing w:line="276" w:lineRule="auto"/>
              <w:jc w:val="center"/>
              <w:cnfStyle w:val="010000000000"/>
              <w:rPr>
                <w:color w:val="000000"/>
                <w:sz w:val="24"/>
              </w:rPr>
            </w:pPr>
            <w:r w:rsidRPr="000B1E45">
              <w:rPr>
                <w:bCs w:val="0"/>
                <w:color w:val="000000"/>
                <w:sz w:val="24"/>
              </w:rPr>
              <w:t>1 331 202,01</w:t>
            </w:r>
          </w:p>
        </w:tc>
      </w:tr>
    </w:tbl>
    <w:p w:rsidR="0082379B" w:rsidRDefault="00773EBA" w:rsidP="00773EBA">
      <w:pPr>
        <w:spacing w:before="240" w:line="276" w:lineRule="auto"/>
        <w:jc w:val="both"/>
        <w:rPr>
          <w:rFonts w:eastAsiaTheme="minorEastAsia"/>
          <w:i/>
          <w:sz w:val="20"/>
        </w:rPr>
      </w:pPr>
      <w:r>
        <w:rPr>
          <w:rFonts w:eastAsiaTheme="minorEastAsia"/>
          <w:i/>
          <w:sz w:val="20"/>
        </w:rPr>
        <w:t xml:space="preserve">Pramen: Vlastní zpracování. </w:t>
      </w:r>
    </w:p>
    <w:p w:rsidR="00773EBA" w:rsidRPr="00773EBA" w:rsidRDefault="00773EBA" w:rsidP="00773EBA">
      <w:pPr>
        <w:spacing w:after="240" w:line="276" w:lineRule="auto"/>
        <w:jc w:val="both"/>
        <w:rPr>
          <w:rFonts w:eastAsiaTheme="minorEastAsia"/>
          <w:i/>
          <w:sz w:val="20"/>
        </w:rPr>
      </w:pPr>
      <w:r>
        <w:rPr>
          <w:rFonts w:eastAsiaTheme="minorEastAsia"/>
          <w:i/>
          <w:sz w:val="20"/>
        </w:rPr>
        <w:t xml:space="preserve">Měnové kurzy uvedeny v USD/EUR, </w:t>
      </w:r>
      <w:r w:rsidR="0082379B">
        <w:rPr>
          <w:rFonts w:eastAsiaTheme="minorEastAsia"/>
          <w:i/>
          <w:sz w:val="20"/>
        </w:rPr>
        <w:t>platby uvedeny v dolarech.</w:t>
      </w:r>
    </w:p>
    <w:p w:rsidR="00D6513E" w:rsidRDefault="00D6513E" w:rsidP="00D6513E">
      <w:pPr>
        <w:spacing w:after="240" w:line="276" w:lineRule="auto"/>
        <w:jc w:val="both"/>
        <w:rPr>
          <w:rFonts w:eastAsiaTheme="minorEastAsia"/>
        </w:rPr>
      </w:pPr>
      <w:r>
        <w:rPr>
          <w:rFonts w:eastAsiaTheme="minorEastAsia"/>
        </w:rPr>
        <w:lastRenderedPageBreak/>
        <w:t xml:space="preserve">Tabulka </w:t>
      </w:r>
      <w:r w:rsidR="00773EBA">
        <w:rPr>
          <w:rFonts w:eastAsiaTheme="minorEastAsia"/>
        </w:rPr>
        <w:t xml:space="preserve">16 </w:t>
      </w:r>
      <w:r>
        <w:rPr>
          <w:rFonts w:eastAsiaTheme="minorEastAsia"/>
        </w:rPr>
        <w:t>zobrazuje výsledné hodnoty plynoucí z jednotlivých prodaných call opcí. Majitel opce za uvažovaného pohybu měnových kurzů uplatní opci pouze ve třech případech. Jindy je</w:t>
      </w:r>
      <w:r w:rsidR="0082379B">
        <w:rPr>
          <w:rFonts w:eastAsiaTheme="minorEastAsia"/>
        </w:rPr>
        <w:t> </w:t>
      </w:r>
      <w:r>
        <w:rPr>
          <w:rFonts w:eastAsiaTheme="minorEastAsia"/>
        </w:rPr>
        <w:t>pro něho levnější nakoupit eura na spotovém trhu. To znamená</w:t>
      </w:r>
      <w:r w:rsidR="00110739">
        <w:rPr>
          <w:rFonts w:eastAsiaTheme="minorEastAsia"/>
        </w:rPr>
        <w:t>, že</w:t>
      </w:r>
      <w:r>
        <w:rPr>
          <w:rFonts w:eastAsiaTheme="minorEastAsia"/>
        </w:rPr>
        <w:t xml:space="preserve"> i společnost </w:t>
      </w:r>
      <w:r w:rsidR="00361DA1">
        <w:rPr>
          <w:rFonts w:eastAsiaTheme="minorEastAsia"/>
        </w:rPr>
        <w:t>Delor</w:t>
      </w:r>
      <w:r>
        <w:rPr>
          <w:rFonts w:eastAsiaTheme="minorEastAsia"/>
        </w:rPr>
        <w:t xml:space="preserve"> musí svůj finanční obnos v eurech směnit na spotovém trhu, na kterém obdrží menší hodnotu obnosu v dolarech, než kdyby došlo ke směně prostřednictvím opce a její realizační hodnoty. Přesto </w:t>
      </w:r>
      <w:r w:rsidR="00110739">
        <w:rPr>
          <w:rFonts w:eastAsiaTheme="minorEastAsia"/>
        </w:rPr>
        <w:t>lze</w:t>
      </w:r>
      <w:r>
        <w:rPr>
          <w:rFonts w:eastAsiaTheme="minorEastAsia"/>
        </w:rPr>
        <w:t xml:space="preserve"> tvrdit, že se prodej call opce společnosti vyplatil. Sice prodává eura levněji na</w:t>
      </w:r>
      <w:r w:rsidR="00773EBA">
        <w:rPr>
          <w:rFonts w:eastAsiaTheme="minorEastAsia"/>
        </w:rPr>
        <w:t> </w:t>
      </w:r>
      <w:r>
        <w:rPr>
          <w:rFonts w:eastAsiaTheme="minorEastAsia"/>
        </w:rPr>
        <w:t xml:space="preserve">spotovém trhu, ale zároveň inkasuje od protistrany poměrně vysoké opční prémie. V konečném </w:t>
      </w:r>
      <w:r w:rsidR="00773EBA">
        <w:rPr>
          <w:rFonts w:eastAsiaTheme="minorEastAsia"/>
        </w:rPr>
        <w:t xml:space="preserve">důsledku je společnost </w:t>
      </w:r>
      <w:r w:rsidR="00361DA1">
        <w:rPr>
          <w:rFonts w:eastAsiaTheme="minorEastAsia"/>
        </w:rPr>
        <w:t>Delor</w:t>
      </w:r>
      <w:r w:rsidR="00773EBA">
        <w:rPr>
          <w:rFonts w:eastAsiaTheme="minorEastAsia"/>
        </w:rPr>
        <w:t xml:space="preserve"> ztrátová</w:t>
      </w:r>
      <w:r>
        <w:rPr>
          <w:rFonts w:eastAsiaTheme="minorEastAsia"/>
        </w:rPr>
        <w:t xml:space="preserve"> v porovnání se spotovým trhem</w:t>
      </w:r>
      <w:r w:rsidR="00110739">
        <w:rPr>
          <w:rFonts w:eastAsiaTheme="minorEastAsia"/>
        </w:rPr>
        <w:t xml:space="preserve"> pouze v případě prodeje opce s nejdelší</w:t>
      </w:r>
      <w:r>
        <w:rPr>
          <w:rFonts w:eastAsiaTheme="minorEastAsia"/>
        </w:rPr>
        <w:t xml:space="preserve"> splatností. Tato ztráta je v Tabulce </w:t>
      </w:r>
      <w:r w:rsidR="00773EBA">
        <w:rPr>
          <w:rFonts w:eastAsiaTheme="minorEastAsia"/>
        </w:rPr>
        <w:t>16 znázorněna červenou barvou.</w:t>
      </w:r>
    </w:p>
    <w:p w:rsidR="00D6513E" w:rsidRDefault="00D6513E" w:rsidP="00D6513E">
      <w:pPr>
        <w:spacing w:after="240" w:line="276" w:lineRule="auto"/>
        <w:jc w:val="both"/>
        <w:rPr>
          <w:rFonts w:eastAsiaTheme="minorEastAsia"/>
        </w:rPr>
      </w:pPr>
      <w:r>
        <w:rPr>
          <w:rFonts w:eastAsiaTheme="minorEastAsia"/>
        </w:rPr>
        <w:t xml:space="preserve">Suma posledního sloupce Tabulky </w:t>
      </w:r>
      <w:r w:rsidR="00773EBA">
        <w:rPr>
          <w:rFonts w:eastAsiaTheme="minorEastAsia"/>
        </w:rPr>
        <w:t>16</w:t>
      </w:r>
      <w:r>
        <w:rPr>
          <w:rFonts w:eastAsiaTheme="minorEastAsia"/>
        </w:rPr>
        <w:t xml:space="preserve">, tedy součet všech přijatých finančních prostředků denominovaných v amerických dolarech v průběhu pěti let, je rovna 1 331 202,01 </w:t>
      </w:r>
      <w:r w:rsidR="00447807">
        <w:rPr>
          <w:rFonts w:eastAsiaTheme="minorEastAsia"/>
        </w:rPr>
        <w:t>USD</w:t>
      </w:r>
      <w:r>
        <w:rPr>
          <w:rFonts w:eastAsiaTheme="minorEastAsia"/>
        </w:rPr>
        <w:t xml:space="preserve">. </w:t>
      </w:r>
    </w:p>
    <w:p w:rsidR="00773EBA" w:rsidRDefault="00773EBA">
      <w:pPr>
        <w:suppressAutoHyphens w:val="0"/>
        <w:spacing w:after="200" w:line="276" w:lineRule="auto"/>
        <w:rPr>
          <w:rFonts w:asciiTheme="minorHAnsi" w:eastAsiaTheme="minorEastAsia" w:hAnsiTheme="minorHAnsi" w:cstheme="minorBidi"/>
          <w:b/>
          <w:sz w:val="22"/>
          <w:szCs w:val="22"/>
          <w:lang w:eastAsia="en-US"/>
        </w:rPr>
      </w:pPr>
    </w:p>
    <w:p w:rsidR="00D6513E" w:rsidRPr="00773EBA" w:rsidRDefault="00D6513E" w:rsidP="00D6513E">
      <w:pPr>
        <w:pStyle w:val="Odstavecseseznamem"/>
        <w:numPr>
          <w:ilvl w:val="0"/>
          <w:numId w:val="22"/>
        </w:numPr>
        <w:spacing w:after="240"/>
        <w:rPr>
          <w:rFonts w:ascii="Times New Roman" w:eastAsiaTheme="minorEastAsia" w:hAnsi="Times New Roman" w:cs="Times New Roman"/>
          <w:sz w:val="24"/>
        </w:rPr>
      </w:pPr>
      <w:r w:rsidRPr="00773EBA">
        <w:rPr>
          <w:rFonts w:ascii="Times New Roman" w:eastAsiaTheme="minorEastAsia" w:hAnsi="Times New Roman" w:cs="Times New Roman"/>
          <w:b/>
          <w:sz w:val="24"/>
        </w:rPr>
        <w:t>Další možnosti zajištění prostřednictvím opcí</w:t>
      </w:r>
    </w:p>
    <w:p w:rsidR="00D6513E" w:rsidRDefault="00D6513E" w:rsidP="00D6513E">
      <w:pPr>
        <w:spacing w:after="240" w:line="276" w:lineRule="auto"/>
        <w:jc w:val="both"/>
        <w:rPr>
          <w:rFonts w:eastAsiaTheme="minorEastAsia"/>
        </w:rPr>
      </w:pPr>
      <w:r>
        <w:rPr>
          <w:rFonts w:eastAsiaTheme="minorEastAsia"/>
        </w:rPr>
        <w:t xml:space="preserve">Pro úplnost </w:t>
      </w:r>
      <w:r w:rsidR="00110739">
        <w:rPr>
          <w:rFonts w:eastAsiaTheme="minorEastAsia"/>
        </w:rPr>
        <w:t>je zde krátce uvedena</w:t>
      </w:r>
      <w:r>
        <w:rPr>
          <w:rFonts w:eastAsiaTheme="minorEastAsia"/>
        </w:rPr>
        <w:t xml:space="preserve"> další možnost zajištění prostřednictvím opcí. Společnost </w:t>
      </w:r>
      <w:r w:rsidR="00361DA1">
        <w:rPr>
          <w:rFonts w:eastAsiaTheme="minorEastAsia"/>
        </w:rPr>
        <w:t>Delor</w:t>
      </w:r>
      <w:r>
        <w:rPr>
          <w:rFonts w:eastAsiaTheme="minorEastAsia"/>
        </w:rPr>
        <w:t xml:space="preserve"> by ke svému zajištění mohla použít také exotické opce. Ty jsou obohaceny o různé „nadstandardní“ vlastnost</w:t>
      </w:r>
      <w:r w:rsidR="00773EBA">
        <w:rPr>
          <w:rFonts w:eastAsiaTheme="minorEastAsia"/>
        </w:rPr>
        <w:t>i</w:t>
      </w:r>
      <w:r>
        <w:rPr>
          <w:rFonts w:eastAsiaTheme="minorEastAsia"/>
        </w:rPr>
        <w:t xml:space="preserve">. </w:t>
      </w:r>
    </w:p>
    <w:p w:rsidR="00D6513E" w:rsidRDefault="00D6513E" w:rsidP="00D6513E">
      <w:pPr>
        <w:spacing w:after="240" w:line="276" w:lineRule="auto"/>
        <w:jc w:val="both"/>
        <w:rPr>
          <w:rFonts w:eastAsiaTheme="minorEastAsia"/>
        </w:rPr>
      </w:pPr>
      <w:r>
        <w:rPr>
          <w:rFonts w:eastAsiaTheme="minorEastAsia"/>
        </w:rPr>
        <w:t>Příkladem zajištění prostřednictvím exotické opce může být nákup prodejní geometrické opce. Vývoj hodnoty této opce nezávisí na spotovém měnovém kurzu, nýbrž na</w:t>
      </w:r>
      <w:r w:rsidR="0082379B">
        <w:rPr>
          <w:rFonts w:eastAsiaTheme="minorEastAsia"/>
        </w:rPr>
        <w:t> </w:t>
      </w:r>
      <w:r>
        <w:rPr>
          <w:rFonts w:eastAsiaTheme="minorEastAsia"/>
        </w:rPr>
        <w:t>geometrickém průměru</w:t>
      </w:r>
      <w:r w:rsidR="0082379B">
        <w:rPr>
          <w:rFonts w:eastAsiaTheme="minorEastAsia"/>
        </w:rPr>
        <w:t xml:space="preserve"> měnového</w:t>
      </w:r>
      <w:r>
        <w:rPr>
          <w:rFonts w:eastAsiaTheme="minorEastAsia"/>
        </w:rPr>
        <w:t xml:space="preserve"> kurzu za předem určené období. Výhodou této opce je</w:t>
      </w:r>
      <w:r w:rsidR="0082379B">
        <w:rPr>
          <w:rFonts w:eastAsiaTheme="minorEastAsia"/>
        </w:rPr>
        <w:t> </w:t>
      </w:r>
      <w:r>
        <w:rPr>
          <w:rFonts w:eastAsiaTheme="minorEastAsia"/>
        </w:rPr>
        <w:t>její nižší cena, tedy nižší opční prémie</w:t>
      </w:r>
      <w:r>
        <w:rPr>
          <w:rStyle w:val="Znakapoznpodarou"/>
          <w:rFonts w:eastAsiaTheme="minorEastAsia"/>
        </w:rPr>
        <w:footnoteReference w:id="125"/>
      </w:r>
      <w:r>
        <w:rPr>
          <w:rFonts w:eastAsiaTheme="minorEastAsia"/>
        </w:rPr>
        <w:t>.</w:t>
      </w:r>
    </w:p>
    <w:p w:rsidR="00D6513E" w:rsidRDefault="00D6513E" w:rsidP="00D6513E">
      <w:pPr>
        <w:spacing w:after="240" w:line="276" w:lineRule="auto"/>
        <w:jc w:val="both"/>
        <w:rPr>
          <w:rFonts w:eastAsiaTheme="minorEastAsia"/>
        </w:rPr>
      </w:pPr>
      <w:r>
        <w:rPr>
          <w:rFonts w:eastAsiaTheme="minorEastAsia"/>
        </w:rPr>
        <w:t xml:space="preserve">Jinou vhodnou exotickou opcí může být například Bermudská opce. </w:t>
      </w:r>
      <w:r w:rsidR="00110739">
        <w:rPr>
          <w:rFonts w:eastAsiaTheme="minorEastAsia"/>
        </w:rPr>
        <w:t>Ta</w:t>
      </w:r>
      <w:r w:rsidR="00EB2314">
        <w:rPr>
          <w:rFonts w:eastAsiaTheme="minorEastAsia"/>
        </w:rPr>
        <w:t xml:space="preserve"> je kombinací evropského a amerického typu</w:t>
      </w:r>
      <w:r>
        <w:rPr>
          <w:rFonts w:eastAsiaTheme="minorEastAsia"/>
        </w:rPr>
        <w:t xml:space="preserve"> opce. Nákupem prodejní Bermudské opce by měla společnost </w:t>
      </w:r>
      <w:r w:rsidR="00361DA1">
        <w:rPr>
          <w:rFonts w:eastAsiaTheme="minorEastAsia"/>
        </w:rPr>
        <w:t>Delor</w:t>
      </w:r>
      <w:r>
        <w:rPr>
          <w:rFonts w:eastAsiaTheme="minorEastAsia"/>
        </w:rPr>
        <w:t xml:space="preserve"> právo uplatnit opci hned v několika termínech splatnosti. Nemusela by tedy kupovat celkem deset </w:t>
      </w:r>
      <w:r w:rsidR="00EB2314">
        <w:rPr>
          <w:rFonts w:eastAsiaTheme="minorEastAsia"/>
        </w:rPr>
        <w:t xml:space="preserve">„Plain Vanilla“ </w:t>
      </w:r>
      <w:r>
        <w:rPr>
          <w:rFonts w:eastAsiaTheme="minorEastAsia"/>
        </w:rPr>
        <w:t xml:space="preserve">opcí, </w:t>
      </w:r>
      <w:r w:rsidR="00EB2314">
        <w:rPr>
          <w:rFonts w:eastAsiaTheme="minorEastAsia"/>
        </w:rPr>
        <w:t>nýbrž</w:t>
      </w:r>
      <w:r>
        <w:rPr>
          <w:rFonts w:eastAsiaTheme="minorEastAsia"/>
        </w:rPr>
        <w:t xml:space="preserve"> pouze jednu.</w:t>
      </w:r>
    </w:p>
    <w:p w:rsidR="00D6513E" w:rsidRPr="00E81176" w:rsidRDefault="00D6513E" w:rsidP="00D6513E">
      <w:pPr>
        <w:spacing w:after="240" w:line="276" w:lineRule="auto"/>
        <w:jc w:val="both"/>
        <w:rPr>
          <w:rFonts w:eastAsiaTheme="minorEastAsia"/>
        </w:rPr>
      </w:pPr>
      <w:r>
        <w:rPr>
          <w:rFonts w:eastAsiaTheme="minorEastAsia"/>
        </w:rPr>
        <w:t xml:space="preserve">Exotické opce </w:t>
      </w:r>
      <w:r w:rsidR="00110739">
        <w:rPr>
          <w:rFonts w:eastAsiaTheme="minorEastAsia"/>
        </w:rPr>
        <w:t>zde zmíněné jsou uvedeny pouze jako příklad možné alternativy zajištění</w:t>
      </w:r>
      <w:r>
        <w:rPr>
          <w:rFonts w:eastAsiaTheme="minorEastAsia"/>
        </w:rPr>
        <w:t>. Exotických opcí je nepřeberné množství</w:t>
      </w:r>
      <w:r w:rsidR="00EB2314">
        <w:rPr>
          <w:rFonts w:eastAsiaTheme="minorEastAsia"/>
        </w:rPr>
        <w:t>,</w:t>
      </w:r>
      <w:r>
        <w:rPr>
          <w:rFonts w:eastAsiaTheme="minorEastAsia"/>
        </w:rPr>
        <w:t xml:space="preserve"> a jistě </w:t>
      </w:r>
      <w:r w:rsidR="00110739">
        <w:rPr>
          <w:rFonts w:eastAsiaTheme="minorEastAsia"/>
        </w:rPr>
        <w:t xml:space="preserve">by bylo možné mezi nimi najít další vhodné </w:t>
      </w:r>
      <w:r>
        <w:rPr>
          <w:rFonts w:eastAsiaTheme="minorEastAsia"/>
        </w:rPr>
        <w:t xml:space="preserve">varianty </w:t>
      </w:r>
      <w:r w:rsidR="00110739">
        <w:rPr>
          <w:rFonts w:eastAsiaTheme="minorEastAsia"/>
        </w:rPr>
        <w:t>pro zajištění rizik</w:t>
      </w:r>
      <w:r>
        <w:rPr>
          <w:rFonts w:eastAsiaTheme="minorEastAsia"/>
        </w:rPr>
        <w:t xml:space="preserve"> společnosti </w:t>
      </w:r>
      <w:r w:rsidR="00361DA1">
        <w:rPr>
          <w:rFonts w:eastAsiaTheme="minorEastAsia"/>
        </w:rPr>
        <w:t>Delor</w:t>
      </w:r>
      <w:r>
        <w:rPr>
          <w:rFonts w:eastAsiaTheme="minorEastAsia"/>
        </w:rPr>
        <w:t xml:space="preserve">. Studium exotických opcí však není náplní této práce, a proto </w:t>
      </w:r>
      <w:r w:rsidR="00110739">
        <w:rPr>
          <w:rFonts w:eastAsiaTheme="minorEastAsia"/>
        </w:rPr>
        <w:t>zde nebudou dále</w:t>
      </w:r>
      <w:r>
        <w:rPr>
          <w:rFonts w:eastAsiaTheme="minorEastAsia"/>
        </w:rPr>
        <w:t xml:space="preserve"> hlouběji </w:t>
      </w:r>
      <w:r w:rsidR="00110739">
        <w:rPr>
          <w:rFonts w:eastAsiaTheme="minorEastAsia"/>
        </w:rPr>
        <w:t>rozvedeny</w:t>
      </w:r>
      <w:r>
        <w:rPr>
          <w:rFonts w:eastAsiaTheme="minorEastAsia"/>
        </w:rPr>
        <w:t>.</w:t>
      </w:r>
    </w:p>
    <w:p w:rsidR="00D6513E" w:rsidRDefault="00D6513E" w:rsidP="00EB2314">
      <w:pPr>
        <w:spacing w:after="240" w:line="276" w:lineRule="auto"/>
        <w:jc w:val="both"/>
        <w:rPr>
          <w:rFonts w:eastAsiaTheme="minorEastAsia"/>
        </w:rPr>
      </w:pPr>
    </w:p>
    <w:p w:rsidR="00110739" w:rsidRDefault="00110739">
      <w:pPr>
        <w:suppressAutoHyphens w:val="0"/>
        <w:spacing w:after="200" w:line="276" w:lineRule="auto"/>
        <w:rPr>
          <w:rFonts w:eastAsiaTheme="minorEastAsia" w:cstheme="majorBidi"/>
          <w:b/>
          <w:bCs/>
          <w:sz w:val="28"/>
          <w:szCs w:val="26"/>
        </w:rPr>
      </w:pPr>
      <w:r>
        <w:rPr>
          <w:rFonts w:eastAsiaTheme="minorEastAsia"/>
        </w:rPr>
        <w:br w:type="page"/>
      </w:r>
    </w:p>
    <w:p w:rsidR="00D6513E" w:rsidRDefault="00D6513E" w:rsidP="00C27CB0">
      <w:pPr>
        <w:pStyle w:val="Nadpis2"/>
        <w:rPr>
          <w:rFonts w:eastAsiaTheme="minorEastAsia"/>
        </w:rPr>
      </w:pPr>
      <w:bookmarkStart w:id="103" w:name="_Toc354393079"/>
      <w:r>
        <w:rPr>
          <w:rFonts w:eastAsiaTheme="minorEastAsia"/>
        </w:rPr>
        <w:lastRenderedPageBreak/>
        <w:t>Optimální volba zajištění</w:t>
      </w:r>
      <w:bookmarkEnd w:id="103"/>
    </w:p>
    <w:p w:rsidR="00D6513E" w:rsidRDefault="00D6513E" w:rsidP="00D6513E">
      <w:pPr>
        <w:spacing w:after="240" w:line="276" w:lineRule="auto"/>
        <w:jc w:val="both"/>
      </w:pPr>
      <w:r>
        <w:t xml:space="preserve">V předchozích kapitolách </w:t>
      </w:r>
      <w:r w:rsidR="00110739">
        <w:t>byly demonstrovány</w:t>
      </w:r>
      <w:r>
        <w:t xml:space="preserve"> jednotlivé možnost</w:t>
      </w:r>
      <w:r w:rsidR="00110739">
        <w:t>i</w:t>
      </w:r>
      <w:r>
        <w:t xml:space="preserve"> zajištění a způsob jejich provedení.</w:t>
      </w:r>
    </w:p>
    <w:p w:rsidR="00D6513E" w:rsidRDefault="00D6513E" w:rsidP="00D6513E">
      <w:pPr>
        <w:spacing w:after="240" w:line="276" w:lineRule="auto"/>
        <w:jc w:val="both"/>
      </w:pPr>
      <w:r>
        <w:t xml:space="preserve">V případě úrokového rizika </w:t>
      </w:r>
      <w:r w:rsidR="00591B8B">
        <w:t>byl</w:t>
      </w:r>
      <w:r w:rsidR="00E749A1">
        <w:t xml:space="preserve"> uveden</w:t>
      </w:r>
      <w:r w:rsidR="00110739">
        <w:t xml:space="preserve"> </w:t>
      </w:r>
      <w:r w:rsidR="00E749A1">
        <w:t xml:space="preserve">nákup úrokového swapu </w:t>
      </w:r>
      <w:r w:rsidR="00110739">
        <w:t>jako jediná</w:t>
      </w:r>
      <w:r>
        <w:t xml:space="preserve"> možnost </w:t>
      </w:r>
      <w:r w:rsidR="00EB2314">
        <w:t>zajištění</w:t>
      </w:r>
      <w:r>
        <w:t xml:space="preserve">. Z důvodu zajištění pravidelných úrokových plateb je volba úrokového swapu volbou nejlepší. Lze tvrdit, že úrokové swapy slouží právě k přeměně </w:t>
      </w:r>
      <w:r w:rsidR="00E749A1">
        <w:t xml:space="preserve">pravidelného </w:t>
      </w:r>
      <w:r w:rsidR="00D92CDC">
        <w:t>variabilního úročení na fixní.</w:t>
      </w:r>
    </w:p>
    <w:p w:rsidR="0082379B" w:rsidRDefault="00D6513E" w:rsidP="00D6513E">
      <w:pPr>
        <w:spacing w:after="240" w:line="276" w:lineRule="auto"/>
        <w:jc w:val="both"/>
      </w:pPr>
      <w:r>
        <w:t>Možnou alternativou pro úrokové swapy by mohly být</w:t>
      </w:r>
      <w:r w:rsidR="00EB2314">
        <w:t xml:space="preserve"> série </w:t>
      </w:r>
      <w:r>
        <w:t>úro</w:t>
      </w:r>
      <w:r w:rsidR="00591B8B">
        <w:t>kových forwardů</w:t>
      </w:r>
      <w:r w:rsidR="00EB2314">
        <w:t xml:space="preserve">. Úrokový swap sám je </w:t>
      </w:r>
      <w:r>
        <w:t>prakticky řetězec několika forwardů. Sjednání několika forwardů by</w:t>
      </w:r>
      <w:r w:rsidR="00591B8B">
        <w:t xml:space="preserve"> však</w:t>
      </w:r>
      <w:r>
        <w:t xml:space="preserve"> bylo pro společnost </w:t>
      </w:r>
      <w:r w:rsidR="00361DA1">
        <w:t>Delor</w:t>
      </w:r>
      <w:r>
        <w:t xml:space="preserve"> dražší </w:t>
      </w:r>
      <w:r w:rsidR="00591B8B">
        <w:t>a komplikovanější alternativou.</w:t>
      </w:r>
      <w:r w:rsidR="00D92CDC">
        <w:t xml:space="preserve"> </w:t>
      </w:r>
    </w:p>
    <w:p w:rsidR="00D6513E" w:rsidRDefault="00D92CDC" w:rsidP="00D6513E">
      <w:pPr>
        <w:spacing w:after="240" w:line="276" w:lineRule="auto"/>
        <w:jc w:val="both"/>
      </w:pPr>
      <w:r>
        <w:t xml:space="preserve">Výhodou swapů je </w:t>
      </w:r>
      <w:r w:rsidR="0082379B">
        <w:t xml:space="preserve">rovněž </w:t>
      </w:r>
      <w:r>
        <w:t>možnost jejich sjednání na dlouhý časový horizont. Na trhu se</w:t>
      </w:r>
      <w:r w:rsidR="0082379B">
        <w:t> </w:t>
      </w:r>
      <w:r>
        <w:t>dokonce objevují úrokové swapy s dobou splatnosti za 30 let. Sjednání delšího časového horizontu u</w:t>
      </w:r>
      <w:r w:rsidR="0082379B">
        <w:t> </w:t>
      </w:r>
      <w:r>
        <w:t>jiných termínových kontraktů by mohlo být problematické.</w:t>
      </w:r>
    </w:p>
    <w:p w:rsidR="00967226" w:rsidRDefault="00D6513E" w:rsidP="00D6513E">
      <w:pPr>
        <w:spacing w:after="240" w:line="276" w:lineRule="auto"/>
        <w:jc w:val="both"/>
      </w:pPr>
      <w:r>
        <w:t xml:space="preserve">Zajištění měnového rizika </w:t>
      </w:r>
      <w:r w:rsidR="00591B8B">
        <w:t>bylo</w:t>
      </w:r>
      <w:r>
        <w:t xml:space="preserve"> postupně</w:t>
      </w:r>
      <w:r w:rsidR="00591B8B">
        <w:t xml:space="preserve"> demonstrováno</w:t>
      </w:r>
      <w:r>
        <w:t xml:space="preserve"> prostřednictvím měnového forwardu, futures a následně využitím měnové opce, a to </w:t>
      </w:r>
      <w:r w:rsidR="00967226">
        <w:t xml:space="preserve">konkrétně </w:t>
      </w:r>
      <w:r w:rsidR="00591B8B">
        <w:t>sjednáním</w:t>
      </w:r>
      <w:r>
        <w:t xml:space="preserve"> jak long put pozice, tak také pozice short call. Výhod</w:t>
      </w:r>
      <w:r w:rsidR="00591B8B">
        <w:t>nost jednotlivých variant bude porovnáno</w:t>
      </w:r>
      <w:r w:rsidR="0082379B">
        <w:t xml:space="preserve"> prostřednictvím celkových příjmů</w:t>
      </w:r>
      <w:r>
        <w:t xml:space="preserve"> ze zajištění za dobu pěti let.</w:t>
      </w:r>
      <w:r w:rsidR="00443D0A">
        <w:t xml:space="preserve"> Co největ</w:t>
      </w:r>
      <w:r w:rsidR="0082379B">
        <w:t xml:space="preserve">ší zisk ze zajištění sice není </w:t>
      </w:r>
      <w:r w:rsidR="00443D0A">
        <w:t>cíl</w:t>
      </w:r>
      <w:r w:rsidR="00591B8B">
        <w:t>em zajištění, toto porovnání</w:t>
      </w:r>
      <w:r w:rsidR="00443D0A">
        <w:t xml:space="preserve"> však pomůže jednotlivé možnosti vyhodnotit.</w:t>
      </w:r>
    </w:p>
    <w:p w:rsidR="00591B8B" w:rsidRDefault="00591B8B" w:rsidP="00591B8B">
      <w:pPr>
        <w:suppressAutoHyphens w:val="0"/>
        <w:spacing w:after="200" w:line="276" w:lineRule="auto"/>
        <w:rPr>
          <w:b/>
        </w:rPr>
      </w:pPr>
    </w:p>
    <w:p w:rsidR="00967226" w:rsidRPr="00591B8B" w:rsidRDefault="00967226" w:rsidP="00591B8B">
      <w:pPr>
        <w:suppressAutoHyphens w:val="0"/>
        <w:spacing w:after="200" w:line="276" w:lineRule="auto"/>
      </w:pPr>
      <w:bookmarkStart w:id="104" w:name="_Toc354393040"/>
      <w:r w:rsidRPr="00591B8B">
        <w:t xml:space="preserve">Tabulka </w:t>
      </w:r>
      <w:fldSimple w:instr=" SEQ Tabulka \* ARABIC ">
        <w:r w:rsidR="00E477F4">
          <w:rPr>
            <w:noProof/>
          </w:rPr>
          <w:t>17</w:t>
        </w:r>
      </w:fldSimple>
      <w:r w:rsidRPr="00591B8B">
        <w:t>: Porovnání jednotlivých způsobů zajištění měnového rizika</w:t>
      </w:r>
      <w:bookmarkEnd w:id="104"/>
    </w:p>
    <w:tbl>
      <w:tblPr>
        <w:tblStyle w:val="Svtlstnovn1"/>
        <w:tblW w:w="9099" w:type="dxa"/>
        <w:jc w:val="center"/>
        <w:tblLook w:val="04A0"/>
      </w:tblPr>
      <w:tblGrid>
        <w:gridCol w:w="1276"/>
        <w:gridCol w:w="1580"/>
        <w:gridCol w:w="1600"/>
        <w:gridCol w:w="1508"/>
        <w:gridCol w:w="1507"/>
        <w:gridCol w:w="1628"/>
      </w:tblGrid>
      <w:tr w:rsidR="00D6513E" w:rsidRPr="00BD5A16" w:rsidTr="00967226">
        <w:trPr>
          <w:cnfStyle w:val="100000000000"/>
          <w:trHeight w:val="300"/>
          <w:jc w:val="center"/>
        </w:trPr>
        <w:tc>
          <w:tcPr>
            <w:cnfStyle w:val="001000000000"/>
            <w:tcW w:w="1276" w:type="dxa"/>
            <w:vMerge w:val="restart"/>
            <w:tcBorders>
              <w:right w:val="single" w:sz="4" w:space="0" w:color="auto"/>
            </w:tcBorders>
            <w:noWrap/>
            <w:vAlign w:val="center"/>
            <w:hideMark/>
          </w:tcPr>
          <w:p w:rsidR="00D6513E" w:rsidRPr="00967226" w:rsidRDefault="00D6513E" w:rsidP="00967226">
            <w:pPr>
              <w:spacing w:line="276" w:lineRule="auto"/>
              <w:jc w:val="center"/>
              <w:rPr>
                <w:color w:val="000000"/>
                <w:sz w:val="24"/>
                <w:szCs w:val="24"/>
                <w:lang w:eastAsia="cs-CZ"/>
              </w:rPr>
            </w:pPr>
          </w:p>
        </w:tc>
        <w:tc>
          <w:tcPr>
            <w:tcW w:w="1580" w:type="dxa"/>
            <w:tcBorders>
              <w:left w:val="single" w:sz="4" w:space="0" w:color="auto"/>
              <w:right w:val="single" w:sz="4" w:space="0" w:color="auto"/>
            </w:tcBorders>
            <w:noWrap/>
            <w:vAlign w:val="center"/>
            <w:hideMark/>
          </w:tcPr>
          <w:p w:rsidR="00D6513E" w:rsidRPr="00967226" w:rsidRDefault="00D6513E" w:rsidP="00967226">
            <w:pPr>
              <w:spacing w:line="276" w:lineRule="auto"/>
              <w:jc w:val="center"/>
              <w:cnfStyle w:val="100000000000"/>
              <w:rPr>
                <w:b w:val="0"/>
                <w:color w:val="000000"/>
                <w:sz w:val="24"/>
                <w:szCs w:val="24"/>
                <w:lang w:eastAsia="cs-CZ"/>
              </w:rPr>
            </w:pPr>
            <w:r w:rsidRPr="00967226">
              <w:rPr>
                <w:b w:val="0"/>
                <w:color w:val="000000"/>
                <w:sz w:val="24"/>
                <w:szCs w:val="24"/>
                <w:lang w:eastAsia="cs-CZ"/>
              </w:rPr>
              <w:t>Bez zajištění</w:t>
            </w:r>
          </w:p>
        </w:tc>
        <w:tc>
          <w:tcPr>
            <w:tcW w:w="6243" w:type="dxa"/>
            <w:gridSpan w:val="4"/>
            <w:tcBorders>
              <w:left w:val="single" w:sz="4" w:space="0" w:color="auto"/>
            </w:tcBorders>
            <w:noWrap/>
            <w:vAlign w:val="center"/>
            <w:hideMark/>
          </w:tcPr>
          <w:p w:rsidR="00D6513E" w:rsidRPr="00967226" w:rsidRDefault="00D6513E" w:rsidP="00967226">
            <w:pPr>
              <w:spacing w:line="276" w:lineRule="auto"/>
              <w:jc w:val="center"/>
              <w:cnfStyle w:val="100000000000"/>
              <w:rPr>
                <w:b w:val="0"/>
                <w:color w:val="000000"/>
                <w:sz w:val="24"/>
                <w:szCs w:val="24"/>
                <w:lang w:eastAsia="cs-CZ"/>
              </w:rPr>
            </w:pPr>
            <w:r w:rsidRPr="00967226">
              <w:rPr>
                <w:b w:val="0"/>
                <w:color w:val="000000"/>
                <w:sz w:val="24"/>
                <w:szCs w:val="24"/>
                <w:lang w:eastAsia="cs-CZ"/>
              </w:rPr>
              <w:t>Se zajištěním</w:t>
            </w:r>
          </w:p>
        </w:tc>
      </w:tr>
      <w:tr w:rsidR="00D6513E" w:rsidRPr="00BD5A16" w:rsidTr="001433CF">
        <w:trPr>
          <w:cnfStyle w:val="000000100000"/>
          <w:trHeight w:val="300"/>
          <w:jc w:val="center"/>
        </w:trPr>
        <w:tc>
          <w:tcPr>
            <w:cnfStyle w:val="001000000000"/>
            <w:tcW w:w="1276" w:type="dxa"/>
            <w:vMerge/>
            <w:tcBorders>
              <w:bottom w:val="single" w:sz="4" w:space="0" w:color="auto"/>
              <w:right w:val="single" w:sz="4" w:space="0" w:color="auto"/>
            </w:tcBorders>
            <w:noWrap/>
            <w:vAlign w:val="center"/>
            <w:hideMark/>
          </w:tcPr>
          <w:p w:rsidR="00D6513E" w:rsidRPr="00967226" w:rsidRDefault="00D6513E" w:rsidP="00967226">
            <w:pPr>
              <w:spacing w:line="276" w:lineRule="auto"/>
              <w:jc w:val="center"/>
              <w:rPr>
                <w:color w:val="000000"/>
                <w:sz w:val="24"/>
                <w:szCs w:val="24"/>
                <w:lang w:eastAsia="cs-CZ"/>
              </w:rPr>
            </w:pPr>
          </w:p>
        </w:tc>
        <w:tc>
          <w:tcPr>
            <w:tcW w:w="1580" w:type="dxa"/>
            <w:tcBorders>
              <w:left w:val="single" w:sz="4" w:space="0" w:color="auto"/>
              <w:bottom w:val="single" w:sz="4" w:space="0" w:color="auto"/>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b/>
                <w:color w:val="000000"/>
                <w:sz w:val="24"/>
                <w:szCs w:val="24"/>
                <w:lang w:eastAsia="cs-CZ"/>
              </w:rPr>
            </w:pPr>
            <w:r w:rsidRPr="00967226">
              <w:rPr>
                <w:b/>
                <w:color w:val="000000"/>
                <w:sz w:val="24"/>
                <w:szCs w:val="24"/>
                <w:lang w:eastAsia="cs-CZ"/>
              </w:rPr>
              <w:t>Spotový trh</w:t>
            </w:r>
          </w:p>
        </w:tc>
        <w:tc>
          <w:tcPr>
            <w:tcW w:w="160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b/>
                <w:color w:val="000000"/>
                <w:sz w:val="24"/>
                <w:szCs w:val="24"/>
                <w:lang w:eastAsia="cs-CZ"/>
              </w:rPr>
            </w:pPr>
            <w:r w:rsidRPr="00967226">
              <w:rPr>
                <w:b/>
                <w:color w:val="000000"/>
                <w:sz w:val="24"/>
                <w:szCs w:val="24"/>
                <w:lang w:eastAsia="cs-CZ"/>
              </w:rPr>
              <w:t>Forward</w:t>
            </w:r>
          </w:p>
        </w:tc>
        <w:tc>
          <w:tcPr>
            <w:tcW w:w="1508"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b/>
                <w:color w:val="000000"/>
                <w:sz w:val="24"/>
                <w:szCs w:val="24"/>
                <w:lang w:eastAsia="cs-CZ"/>
              </w:rPr>
            </w:pPr>
            <w:r w:rsidRPr="00967226">
              <w:rPr>
                <w:b/>
                <w:color w:val="000000"/>
                <w:sz w:val="24"/>
                <w:szCs w:val="24"/>
                <w:lang w:eastAsia="cs-CZ"/>
              </w:rPr>
              <w:t>Futures</w:t>
            </w:r>
          </w:p>
        </w:tc>
        <w:tc>
          <w:tcPr>
            <w:tcW w:w="1507"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b/>
                <w:color w:val="000000"/>
                <w:sz w:val="24"/>
                <w:szCs w:val="24"/>
                <w:lang w:eastAsia="cs-CZ"/>
              </w:rPr>
            </w:pPr>
            <w:r w:rsidRPr="00967226">
              <w:rPr>
                <w:b/>
                <w:color w:val="000000"/>
                <w:sz w:val="24"/>
                <w:szCs w:val="24"/>
                <w:lang w:eastAsia="cs-CZ"/>
              </w:rPr>
              <w:t>Long put</w:t>
            </w:r>
          </w:p>
        </w:tc>
        <w:tc>
          <w:tcPr>
            <w:tcW w:w="1628" w:type="dxa"/>
            <w:tcBorders>
              <w:left w:val="single" w:sz="4" w:space="0" w:color="auto"/>
              <w:bottom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b/>
                <w:color w:val="000000"/>
                <w:sz w:val="24"/>
                <w:szCs w:val="24"/>
                <w:lang w:eastAsia="cs-CZ"/>
              </w:rPr>
            </w:pPr>
            <w:r w:rsidRPr="00967226">
              <w:rPr>
                <w:b/>
                <w:color w:val="000000"/>
                <w:sz w:val="24"/>
                <w:szCs w:val="24"/>
                <w:lang w:eastAsia="cs-CZ"/>
              </w:rPr>
              <w:t>Short call</w:t>
            </w:r>
          </w:p>
        </w:tc>
      </w:tr>
      <w:tr w:rsidR="00D6513E" w:rsidRPr="002D33EC" w:rsidTr="00967226">
        <w:trPr>
          <w:trHeight w:val="300"/>
          <w:jc w:val="center"/>
        </w:trPr>
        <w:tc>
          <w:tcPr>
            <w:cnfStyle w:val="001000000000"/>
            <w:tcW w:w="1276" w:type="dxa"/>
            <w:tcBorders>
              <w:top w:val="single" w:sz="4" w:space="0" w:color="auto"/>
              <w:bottom w:val="single" w:sz="4" w:space="0" w:color="auto"/>
              <w:right w:val="single" w:sz="4" w:space="0" w:color="auto"/>
            </w:tcBorders>
            <w:noWrap/>
            <w:vAlign w:val="center"/>
            <w:hideMark/>
          </w:tcPr>
          <w:p w:rsidR="00D6513E" w:rsidRPr="00967226" w:rsidRDefault="00D6513E" w:rsidP="00967226">
            <w:pPr>
              <w:spacing w:line="276" w:lineRule="auto"/>
              <w:jc w:val="center"/>
              <w:rPr>
                <w:color w:val="000000"/>
                <w:sz w:val="24"/>
                <w:szCs w:val="24"/>
                <w:lang w:eastAsia="cs-CZ"/>
              </w:rPr>
            </w:pPr>
            <w:r w:rsidRPr="00967226">
              <w:rPr>
                <w:color w:val="000000"/>
                <w:sz w:val="24"/>
                <w:szCs w:val="24"/>
                <w:lang w:eastAsia="cs-CZ"/>
              </w:rPr>
              <w:t>Výsledná hodnota</w:t>
            </w:r>
          </w:p>
        </w:tc>
        <w:tc>
          <w:tcPr>
            <w:tcW w:w="1580" w:type="dxa"/>
            <w:tcBorders>
              <w:top w:val="single" w:sz="4" w:space="0" w:color="auto"/>
              <w:left w:val="single" w:sz="4" w:space="0" w:color="auto"/>
              <w:bottom w:val="single" w:sz="4" w:space="0" w:color="auto"/>
              <w:right w:val="single" w:sz="4" w:space="0" w:color="auto"/>
            </w:tcBorders>
            <w:noWrap/>
            <w:vAlign w:val="center"/>
            <w:hideMark/>
          </w:tcPr>
          <w:p w:rsidR="00D6513E" w:rsidRPr="00967226" w:rsidRDefault="00D6513E" w:rsidP="00967226">
            <w:pPr>
              <w:spacing w:line="276" w:lineRule="auto"/>
              <w:jc w:val="center"/>
              <w:cnfStyle w:val="000000000000"/>
              <w:rPr>
                <w:color w:val="000000"/>
                <w:sz w:val="24"/>
                <w:szCs w:val="24"/>
                <w:lang w:eastAsia="cs-CZ"/>
              </w:rPr>
            </w:pPr>
            <w:r w:rsidRPr="00967226">
              <w:rPr>
                <w:color w:val="000000"/>
                <w:sz w:val="24"/>
                <w:szCs w:val="24"/>
                <w:lang w:eastAsia="cs-CZ"/>
              </w:rPr>
              <w:t>1 229 813,30</w:t>
            </w:r>
          </w:p>
        </w:tc>
        <w:tc>
          <w:tcPr>
            <w:tcW w:w="1600" w:type="dxa"/>
            <w:tcBorders>
              <w:top w:val="single" w:sz="4" w:space="0" w:color="auto"/>
              <w:left w:val="single" w:sz="4" w:space="0" w:color="auto"/>
              <w:bottom w:val="single" w:sz="4" w:space="0" w:color="auto"/>
              <w:right w:val="single" w:sz="4" w:space="0" w:color="auto"/>
            </w:tcBorders>
            <w:noWrap/>
            <w:vAlign w:val="center"/>
            <w:hideMark/>
          </w:tcPr>
          <w:p w:rsidR="00D6513E" w:rsidRPr="00967226" w:rsidRDefault="00D6513E" w:rsidP="00967226">
            <w:pPr>
              <w:spacing w:line="276" w:lineRule="auto"/>
              <w:jc w:val="center"/>
              <w:cnfStyle w:val="000000000000"/>
              <w:rPr>
                <w:color w:val="000000"/>
                <w:sz w:val="24"/>
                <w:szCs w:val="24"/>
                <w:lang w:eastAsia="cs-CZ"/>
              </w:rPr>
            </w:pPr>
            <w:r w:rsidRPr="00967226">
              <w:rPr>
                <w:color w:val="000000"/>
                <w:sz w:val="24"/>
                <w:szCs w:val="24"/>
                <w:lang w:eastAsia="cs-CZ"/>
              </w:rPr>
              <w:t>1 272 177,52</w:t>
            </w:r>
          </w:p>
        </w:tc>
        <w:tc>
          <w:tcPr>
            <w:tcW w:w="1508" w:type="dxa"/>
            <w:tcBorders>
              <w:top w:val="single" w:sz="4" w:space="0" w:color="auto"/>
              <w:left w:val="single" w:sz="4" w:space="0" w:color="auto"/>
              <w:bottom w:val="single" w:sz="4" w:space="0" w:color="auto"/>
              <w:right w:val="single" w:sz="4" w:space="0" w:color="auto"/>
            </w:tcBorders>
            <w:noWrap/>
            <w:vAlign w:val="center"/>
            <w:hideMark/>
          </w:tcPr>
          <w:p w:rsidR="00D6513E" w:rsidRPr="00967226" w:rsidRDefault="00D6513E" w:rsidP="00967226">
            <w:pPr>
              <w:spacing w:line="276" w:lineRule="auto"/>
              <w:jc w:val="center"/>
              <w:cnfStyle w:val="000000000000"/>
              <w:rPr>
                <w:color w:val="000000"/>
                <w:sz w:val="24"/>
                <w:szCs w:val="24"/>
                <w:lang w:eastAsia="cs-CZ"/>
              </w:rPr>
            </w:pPr>
            <w:r w:rsidRPr="00967226">
              <w:rPr>
                <w:color w:val="000000"/>
                <w:sz w:val="24"/>
                <w:szCs w:val="24"/>
                <w:lang w:eastAsia="cs-CZ"/>
              </w:rPr>
              <w:t>1 190 657,64</w:t>
            </w:r>
          </w:p>
        </w:tc>
        <w:tc>
          <w:tcPr>
            <w:tcW w:w="1507" w:type="dxa"/>
            <w:tcBorders>
              <w:top w:val="single" w:sz="4" w:space="0" w:color="auto"/>
              <w:left w:val="single" w:sz="4" w:space="0" w:color="auto"/>
              <w:bottom w:val="single" w:sz="4" w:space="0" w:color="auto"/>
              <w:right w:val="single" w:sz="4" w:space="0" w:color="auto"/>
            </w:tcBorders>
            <w:noWrap/>
            <w:vAlign w:val="center"/>
            <w:hideMark/>
          </w:tcPr>
          <w:p w:rsidR="00D6513E" w:rsidRPr="00967226" w:rsidRDefault="00D6513E" w:rsidP="00967226">
            <w:pPr>
              <w:spacing w:line="276" w:lineRule="auto"/>
              <w:jc w:val="center"/>
              <w:cnfStyle w:val="000000000000"/>
              <w:rPr>
                <w:color w:val="000000"/>
                <w:sz w:val="24"/>
                <w:szCs w:val="24"/>
                <w:lang w:eastAsia="cs-CZ"/>
              </w:rPr>
            </w:pPr>
            <w:r w:rsidRPr="00967226">
              <w:rPr>
                <w:color w:val="000000"/>
                <w:sz w:val="24"/>
                <w:szCs w:val="24"/>
                <w:lang w:eastAsia="cs-CZ"/>
              </w:rPr>
              <w:t>1 238 142,17</w:t>
            </w:r>
          </w:p>
        </w:tc>
        <w:tc>
          <w:tcPr>
            <w:tcW w:w="1628" w:type="dxa"/>
            <w:tcBorders>
              <w:top w:val="single" w:sz="4" w:space="0" w:color="auto"/>
              <w:left w:val="single" w:sz="4" w:space="0" w:color="auto"/>
              <w:bottom w:val="single" w:sz="4" w:space="0" w:color="auto"/>
            </w:tcBorders>
            <w:noWrap/>
            <w:vAlign w:val="center"/>
            <w:hideMark/>
          </w:tcPr>
          <w:p w:rsidR="00D6513E" w:rsidRPr="00967226" w:rsidRDefault="00D6513E" w:rsidP="00967226">
            <w:pPr>
              <w:keepNext/>
              <w:spacing w:line="276" w:lineRule="auto"/>
              <w:jc w:val="center"/>
              <w:cnfStyle w:val="000000000000"/>
              <w:rPr>
                <w:color w:val="000000"/>
                <w:sz w:val="24"/>
                <w:szCs w:val="24"/>
                <w:lang w:eastAsia="cs-CZ"/>
              </w:rPr>
            </w:pPr>
            <w:r w:rsidRPr="00967226">
              <w:rPr>
                <w:color w:val="000000"/>
                <w:sz w:val="24"/>
                <w:szCs w:val="24"/>
                <w:lang w:eastAsia="cs-CZ"/>
              </w:rPr>
              <w:t>1 331 202,01</w:t>
            </w:r>
          </w:p>
        </w:tc>
      </w:tr>
      <w:tr w:rsidR="00D6513E" w:rsidRPr="002D33EC" w:rsidTr="001433CF">
        <w:trPr>
          <w:cnfStyle w:val="000000100000"/>
          <w:trHeight w:val="300"/>
          <w:jc w:val="center"/>
        </w:trPr>
        <w:tc>
          <w:tcPr>
            <w:cnfStyle w:val="001000000000"/>
            <w:tcW w:w="1276" w:type="dxa"/>
            <w:tcBorders>
              <w:top w:val="single" w:sz="4" w:space="0" w:color="auto"/>
              <w:bottom w:val="single" w:sz="8" w:space="0" w:color="000000" w:themeColor="text1"/>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rPr>
                <w:color w:val="000000"/>
                <w:sz w:val="24"/>
                <w:szCs w:val="24"/>
                <w:lang w:eastAsia="cs-CZ"/>
              </w:rPr>
            </w:pPr>
            <w:r w:rsidRPr="00967226">
              <w:rPr>
                <w:color w:val="000000"/>
                <w:sz w:val="24"/>
                <w:szCs w:val="24"/>
                <w:lang w:eastAsia="cs-CZ"/>
              </w:rPr>
              <w:t>Zisk</w:t>
            </w:r>
          </w:p>
        </w:tc>
        <w:tc>
          <w:tcPr>
            <w:tcW w:w="1580" w:type="dxa"/>
            <w:tcBorders>
              <w:top w:val="single" w:sz="4" w:space="0" w:color="auto"/>
              <w:left w:val="single" w:sz="4" w:space="0" w:color="auto"/>
              <w:bottom w:val="single" w:sz="8" w:space="0" w:color="000000" w:themeColor="text1"/>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color w:val="000000"/>
                <w:sz w:val="24"/>
                <w:szCs w:val="24"/>
              </w:rPr>
            </w:pPr>
            <w:r w:rsidRPr="00967226">
              <w:rPr>
                <w:color w:val="000000"/>
                <w:sz w:val="24"/>
                <w:szCs w:val="24"/>
              </w:rPr>
              <w:t>0,00</w:t>
            </w:r>
          </w:p>
        </w:tc>
        <w:tc>
          <w:tcPr>
            <w:tcW w:w="1600" w:type="dxa"/>
            <w:tcBorders>
              <w:top w:val="single" w:sz="4" w:space="0" w:color="auto"/>
              <w:left w:val="single" w:sz="4" w:space="0" w:color="auto"/>
              <w:bottom w:val="single" w:sz="8" w:space="0" w:color="000000" w:themeColor="text1"/>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color w:val="000000"/>
                <w:sz w:val="24"/>
                <w:szCs w:val="24"/>
              </w:rPr>
            </w:pPr>
            <w:r w:rsidRPr="00967226">
              <w:rPr>
                <w:color w:val="000000"/>
                <w:sz w:val="24"/>
                <w:szCs w:val="24"/>
              </w:rPr>
              <w:t>42 364,22</w:t>
            </w:r>
          </w:p>
        </w:tc>
        <w:tc>
          <w:tcPr>
            <w:tcW w:w="1508" w:type="dxa"/>
            <w:tcBorders>
              <w:top w:val="single" w:sz="4" w:space="0" w:color="auto"/>
              <w:left w:val="single" w:sz="4" w:space="0" w:color="auto"/>
              <w:bottom w:val="single" w:sz="8" w:space="0" w:color="000000" w:themeColor="text1"/>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color w:val="000000"/>
                <w:sz w:val="24"/>
                <w:szCs w:val="24"/>
              </w:rPr>
            </w:pPr>
            <w:r w:rsidRPr="00967226">
              <w:rPr>
                <w:color w:val="000000"/>
                <w:sz w:val="24"/>
                <w:szCs w:val="24"/>
              </w:rPr>
              <w:t>-39 155,66</w:t>
            </w:r>
          </w:p>
        </w:tc>
        <w:tc>
          <w:tcPr>
            <w:tcW w:w="1507" w:type="dxa"/>
            <w:tcBorders>
              <w:top w:val="single" w:sz="4" w:space="0" w:color="auto"/>
              <w:left w:val="single" w:sz="4" w:space="0" w:color="auto"/>
              <w:bottom w:val="single" w:sz="8" w:space="0" w:color="000000" w:themeColor="text1"/>
              <w:right w:val="single" w:sz="4" w:space="0" w:color="auto"/>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color w:val="000000"/>
                <w:sz w:val="24"/>
                <w:szCs w:val="24"/>
              </w:rPr>
            </w:pPr>
            <w:r w:rsidRPr="00967226">
              <w:rPr>
                <w:color w:val="000000"/>
                <w:sz w:val="24"/>
                <w:szCs w:val="24"/>
              </w:rPr>
              <w:t>8 328,87</w:t>
            </w:r>
          </w:p>
        </w:tc>
        <w:tc>
          <w:tcPr>
            <w:tcW w:w="1628" w:type="dxa"/>
            <w:tcBorders>
              <w:top w:val="single" w:sz="4" w:space="0" w:color="auto"/>
              <w:left w:val="single" w:sz="4" w:space="0" w:color="auto"/>
              <w:bottom w:val="single" w:sz="8" w:space="0" w:color="000000" w:themeColor="text1"/>
            </w:tcBorders>
            <w:shd w:val="clear" w:color="auto" w:fill="D9D9D9" w:themeFill="background1" w:themeFillShade="D9"/>
            <w:noWrap/>
            <w:vAlign w:val="center"/>
            <w:hideMark/>
          </w:tcPr>
          <w:p w:rsidR="00D6513E" w:rsidRPr="00967226" w:rsidRDefault="00D6513E" w:rsidP="00967226">
            <w:pPr>
              <w:spacing w:line="276" w:lineRule="auto"/>
              <w:jc w:val="center"/>
              <w:cnfStyle w:val="000000100000"/>
              <w:rPr>
                <w:color w:val="000000"/>
                <w:sz w:val="24"/>
                <w:szCs w:val="24"/>
              </w:rPr>
            </w:pPr>
            <w:r w:rsidRPr="00967226">
              <w:rPr>
                <w:color w:val="000000"/>
                <w:sz w:val="24"/>
                <w:szCs w:val="24"/>
              </w:rPr>
              <w:t>101 388,71</w:t>
            </w:r>
          </w:p>
        </w:tc>
      </w:tr>
    </w:tbl>
    <w:p w:rsidR="0082379B" w:rsidRDefault="00967226" w:rsidP="0082379B">
      <w:pPr>
        <w:spacing w:before="240" w:line="276" w:lineRule="auto"/>
        <w:jc w:val="both"/>
        <w:rPr>
          <w:rFonts w:eastAsiaTheme="minorEastAsia"/>
          <w:i/>
          <w:sz w:val="20"/>
        </w:rPr>
      </w:pPr>
      <w:r>
        <w:rPr>
          <w:rFonts w:eastAsiaTheme="minorEastAsia"/>
          <w:i/>
          <w:sz w:val="20"/>
        </w:rPr>
        <w:t>Pramen: Vlastní zpracování</w:t>
      </w:r>
      <w:r w:rsidR="00184772">
        <w:rPr>
          <w:rFonts w:eastAsiaTheme="minorEastAsia"/>
          <w:i/>
          <w:sz w:val="20"/>
        </w:rPr>
        <w:t xml:space="preserve"> </w:t>
      </w:r>
    </w:p>
    <w:p w:rsidR="00D6513E" w:rsidRDefault="0082379B" w:rsidP="00967226">
      <w:pPr>
        <w:spacing w:after="240" w:line="276" w:lineRule="auto"/>
        <w:jc w:val="both"/>
        <w:rPr>
          <w:rFonts w:eastAsiaTheme="minorEastAsia"/>
          <w:i/>
          <w:sz w:val="20"/>
        </w:rPr>
      </w:pPr>
      <w:r>
        <w:rPr>
          <w:rFonts w:eastAsiaTheme="minorEastAsia"/>
          <w:i/>
          <w:sz w:val="20"/>
        </w:rPr>
        <w:t>Hodnoty uvedeny v dolarech.</w:t>
      </w:r>
    </w:p>
    <w:p w:rsidR="00967226" w:rsidRPr="00967226" w:rsidRDefault="00967226" w:rsidP="00967226">
      <w:pPr>
        <w:spacing w:before="240" w:after="240" w:line="276" w:lineRule="auto"/>
        <w:jc w:val="both"/>
        <w:rPr>
          <w:rFonts w:eastAsiaTheme="minorEastAsia"/>
        </w:rPr>
      </w:pPr>
    </w:p>
    <w:p w:rsidR="00D6513E" w:rsidRDefault="00D6513E" w:rsidP="00D6513E">
      <w:pPr>
        <w:spacing w:after="240" w:line="276" w:lineRule="auto"/>
        <w:jc w:val="both"/>
        <w:rPr>
          <w:rFonts w:eastAsiaTheme="minorEastAsia"/>
        </w:rPr>
      </w:pPr>
      <w:r>
        <w:rPr>
          <w:rFonts w:eastAsiaTheme="minorEastAsia"/>
        </w:rPr>
        <w:t>Před vyvozováním důsledků z výsled</w:t>
      </w:r>
      <w:r w:rsidR="00591B8B">
        <w:rPr>
          <w:rFonts w:eastAsiaTheme="minorEastAsia"/>
        </w:rPr>
        <w:t>k</w:t>
      </w:r>
      <w:r>
        <w:rPr>
          <w:rFonts w:eastAsiaTheme="minorEastAsia"/>
        </w:rPr>
        <w:t xml:space="preserve">ů uvedených v Tabulce </w:t>
      </w:r>
      <w:r w:rsidR="00967226">
        <w:rPr>
          <w:rFonts w:eastAsiaTheme="minorEastAsia"/>
        </w:rPr>
        <w:t>17</w:t>
      </w:r>
      <w:r>
        <w:rPr>
          <w:rFonts w:eastAsiaTheme="minorEastAsia"/>
        </w:rPr>
        <w:t xml:space="preserve"> je nutno zdůraznit, že dané výsledné hodnoty jsou platné pouze pro námi simulovaný vývoj kurzu měnového páru EUR/USD. V případě jiného vývoje by </w:t>
      </w:r>
      <w:r w:rsidR="00967226">
        <w:rPr>
          <w:rFonts w:eastAsiaTheme="minorEastAsia"/>
        </w:rPr>
        <w:t>mohlo být</w:t>
      </w:r>
      <w:r>
        <w:rPr>
          <w:rFonts w:eastAsiaTheme="minorEastAsia"/>
        </w:rPr>
        <w:t xml:space="preserve"> „pořadí“ jednotlivých termínových kontraktů </w:t>
      </w:r>
      <w:r w:rsidR="00967226">
        <w:rPr>
          <w:rFonts w:eastAsiaTheme="minorEastAsia"/>
        </w:rPr>
        <w:t xml:space="preserve">zcela </w:t>
      </w:r>
      <w:r>
        <w:rPr>
          <w:rFonts w:eastAsiaTheme="minorEastAsia"/>
        </w:rPr>
        <w:t>odlišné.</w:t>
      </w:r>
    </w:p>
    <w:p w:rsidR="0082379B" w:rsidRDefault="00D6513E" w:rsidP="00D6513E">
      <w:pPr>
        <w:spacing w:after="240" w:line="276" w:lineRule="auto"/>
        <w:jc w:val="both"/>
        <w:rPr>
          <w:rFonts w:eastAsiaTheme="minorEastAsia"/>
        </w:rPr>
      </w:pPr>
      <w:r>
        <w:rPr>
          <w:rFonts w:eastAsiaTheme="minorEastAsia"/>
        </w:rPr>
        <w:t xml:space="preserve">Jak </w:t>
      </w:r>
      <w:r w:rsidR="00591B8B">
        <w:rPr>
          <w:rFonts w:eastAsiaTheme="minorEastAsia"/>
        </w:rPr>
        <w:t xml:space="preserve">je </w:t>
      </w:r>
      <w:r>
        <w:rPr>
          <w:rFonts w:eastAsiaTheme="minorEastAsia"/>
        </w:rPr>
        <w:t xml:space="preserve">v Tabulce </w:t>
      </w:r>
      <w:r w:rsidR="00967226">
        <w:rPr>
          <w:rFonts w:eastAsiaTheme="minorEastAsia"/>
        </w:rPr>
        <w:t>17</w:t>
      </w:r>
      <w:r>
        <w:rPr>
          <w:rFonts w:eastAsiaTheme="minorEastAsia"/>
        </w:rPr>
        <w:t xml:space="preserve"> </w:t>
      </w:r>
      <w:r w:rsidR="00591B8B">
        <w:rPr>
          <w:rFonts w:eastAsiaTheme="minorEastAsia"/>
        </w:rPr>
        <w:t>možno vidět,</w:t>
      </w:r>
      <w:r>
        <w:rPr>
          <w:rFonts w:eastAsiaTheme="minorEastAsia"/>
        </w:rPr>
        <w:t xml:space="preserve"> ve většině případů by společnost </w:t>
      </w:r>
      <w:r w:rsidR="00361DA1">
        <w:rPr>
          <w:rFonts w:eastAsiaTheme="minorEastAsia"/>
        </w:rPr>
        <w:t>Delor</w:t>
      </w:r>
      <w:r>
        <w:rPr>
          <w:rFonts w:eastAsiaTheme="minorEastAsia"/>
        </w:rPr>
        <w:t xml:space="preserve"> díky zajištění inkasovala více, než směnou na spotovém trhu. Jediná varianta, která by byla pro společnost </w:t>
      </w:r>
      <w:r w:rsidR="0013130F">
        <w:rPr>
          <w:rFonts w:eastAsiaTheme="minorEastAsia"/>
        </w:rPr>
        <w:t>„</w:t>
      </w:r>
      <w:r>
        <w:rPr>
          <w:rFonts w:eastAsiaTheme="minorEastAsia"/>
        </w:rPr>
        <w:t>ztrátová</w:t>
      </w:r>
      <w:r w:rsidR="0013130F">
        <w:rPr>
          <w:rFonts w:eastAsiaTheme="minorEastAsia"/>
        </w:rPr>
        <w:t>“</w:t>
      </w:r>
      <w:r>
        <w:rPr>
          <w:rFonts w:eastAsiaTheme="minorEastAsia"/>
        </w:rPr>
        <w:t>, je</w:t>
      </w:r>
      <w:r w:rsidR="00967226">
        <w:rPr>
          <w:rFonts w:eastAsiaTheme="minorEastAsia"/>
        </w:rPr>
        <w:t> </w:t>
      </w:r>
      <w:r w:rsidR="0048473C">
        <w:rPr>
          <w:rFonts w:eastAsiaTheme="minorEastAsia"/>
        </w:rPr>
        <w:t>prodej futures kontraktů</w:t>
      </w:r>
      <w:r>
        <w:rPr>
          <w:rFonts w:eastAsiaTheme="minorEastAsia"/>
        </w:rPr>
        <w:t xml:space="preserve">. </w:t>
      </w:r>
    </w:p>
    <w:p w:rsidR="0048473C" w:rsidRDefault="00D6513E" w:rsidP="00D6513E">
      <w:pPr>
        <w:spacing w:after="240" w:line="276" w:lineRule="auto"/>
        <w:jc w:val="both"/>
        <w:rPr>
          <w:rFonts w:eastAsiaTheme="minorEastAsia"/>
        </w:rPr>
      </w:pPr>
      <w:r>
        <w:rPr>
          <w:rFonts w:eastAsiaTheme="minorEastAsia"/>
        </w:rPr>
        <w:lastRenderedPageBreak/>
        <w:t xml:space="preserve">Futures kontrakty jsou pro zajištění problematické </w:t>
      </w:r>
      <w:r w:rsidR="00591B8B">
        <w:rPr>
          <w:rFonts w:eastAsiaTheme="minorEastAsia"/>
        </w:rPr>
        <w:t xml:space="preserve">díky jejich standardizaci. Jak bylo </w:t>
      </w:r>
      <w:r>
        <w:rPr>
          <w:rFonts w:eastAsiaTheme="minorEastAsia"/>
        </w:rPr>
        <w:t xml:space="preserve">v předchozí kapitole </w:t>
      </w:r>
      <w:r w:rsidR="00967226">
        <w:rPr>
          <w:rFonts w:eastAsiaTheme="minorEastAsia"/>
        </w:rPr>
        <w:t xml:space="preserve">navíc </w:t>
      </w:r>
      <w:r w:rsidR="00591B8B">
        <w:rPr>
          <w:rFonts w:eastAsiaTheme="minorEastAsia"/>
        </w:rPr>
        <w:t>ukázáno</w:t>
      </w:r>
      <w:r>
        <w:rPr>
          <w:rFonts w:eastAsiaTheme="minorEastAsia"/>
        </w:rPr>
        <w:t xml:space="preserve">, </w:t>
      </w:r>
      <w:r w:rsidR="00967226">
        <w:rPr>
          <w:rFonts w:eastAsiaTheme="minorEastAsia"/>
        </w:rPr>
        <w:t xml:space="preserve">samotný proces zajištění je u futures </w:t>
      </w:r>
      <w:r w:rsidR="0082379B">
        <w:rPr>
          <w:rFonts w:eastAsiaTheme="minorEastAsia"/>
        </w:rPr>
        <w:t xml:space="preserve">kontraktů </w:t>
      </w:r>
      <w:r w:rsidR="00967226">
        <w:rPr>
          <w:rFonts w:eastAsiaTheme="minorEastAsia"/>
        </w:rPr>
        <w:t xml:space="preserve">velmi komplikovaný, </w:t>
      </w:r>
      <w:r w:rsidR="00591B8B">
        <w:rPr>
          <w:rFonts w:eastAsiaTheme="minorEastAsia"/>
        </w:rPr>
        <w:t xml:space="preserve">jelikož </w:t>
      </w:r>
      <w:r w:rsidR="00967226">
        <w:rPr>
          <w:rFonts w:eastAsiaTheme="minorEastAsia"/>
        </w:rPr>
        <w:t>je nutno provést hned několik operací</w:t>
      </w:r>
      <w:r>
        <w:rPr>
          <w:rFonts w:eastAsiaTheme="minorEastAsia"/>
        </w:rPr>
        <w:t xml:space="preserve"> na trhu. </w:t>
      </w:r>
      <w:r w:rsidR="0048473C">
        <w:rPr>
          <w:rFonts w:eastAsiaTheme="minorEastAsia"/>
        </w:rPr>
        <w:t>Lze proto tvrdit, že</w:t>
      </w:r>
      <w:r w:rsidR="0082379B">
        <w:rPr>
          <w:rFonts w:eastAsiaTheme="minorEastAsia"/>
        </w:rPr>
        <w:t> </w:t>
      </w:r>
      <w:r w:rsidR="0048473C">
        <w:rPr>
          <w:rFonts w:eastAsiaTheme="minorEastAsia"/>
        </w:rPr>
        <w:t>z</w:t>
      </w:r>
      <w:r>
        <w:rPr>
          <w:rFonts w:eastAsiaTheme="minorEastAsia"/>
        </w:rPr>
        <w:t xml:space="preserve">ajištění prostřednictvím futures </w:t>
      </w:r>
      <w:r w:rsidR="0048473C">
        <w:rPr>
          <w:rFonts w:eastAsiaTheme="minorEastAsia"/>
        </w:rPr>
        <w:t>není příliš vyhovující. Je ovšem nutno mít na paměti, že</w:t>
      </w:r>
      <w:r w:rsidR="0082379B">
        <w:rPr>
          <w:rFonts w:eastAsiaTheme="minorEastAsia"/>
        </w:rPr>
        <w:t> </w:t>
      </w:r>
      <w:r w:rsidR="0048473C">
        <w:rPr>
          <w:rFonts w:eastAsiaTheme="minorEastAsia"/>
        </w:rPr>
        <w:t>použití futures s sebou nese rovněž nezanedbatelné výhody. Obchodováním na futures trzích zaniká úvěrové riziko, jelikož burz</w:t>
      </w:r>
      <w:r w:rsidR="0013130F">
        <w:rPr>
          <w:rFonts w:eastAsiaTheme="minorEastAsia"/>
        </w:rPr>
        <w:t xml:space="preserve">a garantuje vypořádání kontraktů. Rovněž je nutno mít na paměti, že ne vždy může být pro podnikatele snadné </w:t>
      </w:r>
      <w:r w:rsidR="0015680C">
        <w:rPr>
          <w:rFonts w:eastAsiaTheme="minorEastAsia"/>
        </w:rPr>
        <w:t>sjednat kontrakt typu forward, který se často sjednává s vysokými nominálními hodnotami. Naopak sjednat kontraktu</w:t>
      </w:r>
      <w:r w:rsidR="0082379B">
        <w:rPr>
          <w:rFonts w:eastAsiaTheme="minorEastAsia"/>
        </w:rPr>
        <w:t xml:space="preserve"> futures může podnikatel</w:t>
      </w:r>
      <w:r w:rsidR="0015680C">
        <w:rPr>
          <w:rFonts w:eastAsiaTheme="minorEastAsia"/>
        </w:rPr>
        <w:t xml:space="preserve"> relativně bez problémů.</w:t>
      </w:r>
    </w:p>
    <w:p w:rsidR="00D6513E" w:rsidRDefault="00D6513E" w:rsidP="00D6513E">
      <w:pPr>
        <w:spacing w:after="240" w:line="276" w:lineRule="auto"/>
        <w:jc w:val="both"/>
        <w:rPr>
          <w:rFonts w:eastAsiaTheme="minorEastAsia"/>
        </w:rPr>
      </w:pPr>
      <w:r>
        <w:rPr>
          <w:rFonts w:eastAsiaTheme="minorEastAsia"/>
        </w:rPr>
        <w:t xml:space="preserve">V případě námi očekávaného vývoje měnového kurzu EUR/USD vychází pro společnost </w:t>
      </w:r>
      <w:r w:rsidR="00361DA1">
        <w:rPr>
          <w:rFonts w:eastAsiaTheme="minorEastAsia"/>
        </w:rPr>
        <w:t>Delor</w:t>
      </w:r>
      <w:r>
        <w:rPr>
          <w:rFonts w:eastAsiaTheme="minorEastAsia"/>
        </w:rPr>
        <w:t xml:space="preserve"> jako nejlepší varianta sjednání pozic v deseti short call opcích. Díky tomuto rozhodnutí by společnost za dobu pěti let celkem získala 1 331 202,01 </w:t>
      </w:r>
      <w:r w:rsidR="00447807">
        <w:rPr>
          <w:rFonts w:eastAsiaTheme="minorEastAsia"/>
        </w:rPr>
        <w:t>USD</w:t>
      </w:r>
      <w:r>
        <w:rPr>
          <w:rFonts w:eastAsiaTheme="minorEastAsia"/>
        </w:rPr>
        <w:t xml:space="preserve">. Výhodnost short call opce lze spatřovat v inkasování opčních prémií. V případě sjednání celkem deseti kontraktů v jeden den, se splatností </w:t>
      </w:r>
      <w:r w:rsidR="00DC2772">
        <w:rPr>
          <w:rFonts w:eastAsiaTheme="minorEastAsia"/>
        </w:rPr>
        <w:t>od půl roku do</w:t>
      </w:r>
      <w:r>
        <w:rPr>
          <w:rFonts w:eastAsiaTheme="minorEastAsia"/>
        </w:rPr>
        <w:t xml:space="preserve"> pět</w:t>
      </w:r>
      <w:r w:rsidR="00DC2772">
        <w:rPr>
          <w:rFonts w:eastAsiaTheme="minorEastAsia"/>
        </w:rPr>
        <w:t>i</w:t>
      </w:r>
      <w:r>
        <w:rPr>
          <w:rFonts w:eastAsiaTheme="minorEastAsia"/>
        </w:rPr>
        <w:t xml:space="preserve"> let, dochází k platbám poměrně vysokých prémií. I díky tomuto </w:t>
      </w:r>
      <w:r w:rsidR="00591B8B">
        <w:rPr>
          <w:rFonts w:eastAsiaTheme="minorEastAsia"/>
        </w:rPr>
        <w:t>faktoru by</w:t>
      </w:r>
      <w:r>
        <w:rPr>
          <w:rFonts w:eastAsiaTheme="minorEastAsia"/>
        </w:rPr>
        <w:t xml:space="preserve"> byl zisk sp</w:t>
      </w:r>
      <w:r w:rsidR="00967226">
        <w:rPr>
          <w:rFonts w:eastAsiaTheme="minorEastAsia"/>
        </w:rPr>
        <w:t xml:space="preserve">olečnosti </w:t>
      </w:r>
      <w:r w:rsidR="00361DA1">
        <w:rPr>
          <w:rFonts w:eastAsiaTheme="minorEastAsia"/>
        </w:rPr>
        <w:t>Delor</w:t>
      </w:r>
      <w:r w:rsidR="00967226">
        <w:rPr>
          <w:rFonts w:eastAsiaTheme="minorEastAsia"/>
        </w:rPr>
        <w:t xml:space="preserve"> takto vysoký.</w:t>
      </w:r>
    </w:p>
    <w:p w:rsidR="00D6513E" w:rsidRDefault="00DC2772" w:rsidP="00D6513E">
      <w:pPr>
        <w:spacing w:after="240" w:line="276" w:lineRule="auto"/>
        <w:jc w:val="both"/>
        <w:rPr>
          <w:rFonts w:eastAsiaTheme="minorEastAsia"/>
        </w:rPr>
      </w:pPr>
      <w:r>
        <w:rPr>
          <w:rFonts w:eastAsiaTheme="minorEastAsia"/>
        </w:rPr>
        <w:t>Velikou</w:t>
      </w:r>
      <w:r w:rsidR="00D6513E">
        <w:rPr>
          <w:rFonts w:eastAsiaTheme="minorEastAsia"/>
        </w:rPr>
        <w:t xml:space="preserve"> a podstatnou nevýhodou</w:t>
      </w:r>
      <w:r>
        <w:rPr>
          <w:rFonts w:eastAsiaTheme="minorEastAsia"/>
        </w:rPr>
        <w:t xml:space="preserve"> sjednání short call opcí</w:t>
      </w:r>
      <w:r w:rsidR="00D6513E">
        <w:rPr>
          <w:rFonts w:eastAsiaTheme="minorEastAsia"/>
        </w:rPr>
        <w:t xml:space="preserve"> je však v případě růstu měnového kurzu neomezená ztráta. Společnost </w:t>
      </w:r>
      <w:r w:rsidR="00361DA1">
        <w:rPr>
          <w:rFonts w:eastAsiaTheme="minorEastAsia"/>
        </w:rPr>
        <w:t>Delor</w:t>
      </w:r>
      <w:r w:rsidR="00D6513E">
        <w:rPr>
          <w:rFonts w:eastAsiaTheme="minorEastAsia"/>
        </w:rPr>
        <w:t xml:space="preserve"> může s jistou pravděpodobností předvídat vývoj měnového kurzu pár měsíců předem. Doba pěti let je však </w:t>
      </w:r>
      <w:r w:rsidR="00591B8B">
        <w:rPr>
          <w:rFonts w:eastAsiaTheme="minorEastAsia"/>
        </w:rPr>
        <w:t>příliš</w:t>
      </w:r>
      <w:r w:rsidR="00D6513E">
        <w:rPr>
          <w:rFonts w:eastAsiaTheme="minorEastAsia"/>
        </w:rPr>
        <w:t xml:space="preserve"> dlouhá a vývoj jakékoli proměnné nelze takto dopředu </w:t>
      </w:r>
      <w:r w:rsidR="00591B8B">
        <w:rPr>
          <w:rFonts w:eastAsiaTheme="minorEastAsia"/>
        </w:rPr>
        <w:t xml:space="preserve">spolehlivě </w:t>
      </w:r>
      <w:r w:rsidR="00D6513E">
        <w:rPr>
          <w:rFonts w:eastAsiaTheme="minorEastAsia"/>
        </w:rPr>
        <w:t>předvídat. Mohlo by tedy dojít k</w:t>
      </w:r>
      <w:r w:rsidR="00967226">
        <w:rPr>
          <w:rFonts w:eastAsiaTheme="minorEastAsia"/>
        </w:rPr>
        <w:t> výraznému růstu měnových kurzů</w:t>
      </w:r>
      <w:r w:rsidR="00D6513E">
        <w:rPr>
          <w:rFonts w:eastAsiaTheme="minorEastAsia"/>
        </w:rPr>
        <w:t xml:space="preserve"> a společnost </w:t>
      </w:r>
      <w:r w:rsidR="00361DA1">
        <w:rPr>
          <w:rFonts w:eastAsiaTheme="minorEastAsia"/>
        </w:rPr>
        <w:t>Delor</w:t>
      </w:r>
      <w:r w:rsidR="00D6513E">
        <w:rPr>
          <w:rFonts w:eastAsiaTheme="minorEastAsia"/>
        </w:rPr>
        <w:t xml:space="preserve"> by realizovala obrovské ztráty. Neomezená možnost ztráty navíc nekoresponduje s požadavkem společnosti na zajištění proti riziku pohybu měnových kurzů. Prodej call opcí je tedy pro společnost </w:t>
      </w:r>
      <w:r w:rsidR="00361DA1">
        <w:rPr>
          <w:rFonts w:eastAsiaTheme="minorEastAsia"/>
        </w:rPr>
        <w:t>Delor</w:t>
      </w:r>
      <w:r w:rsidR="00D6513E">
        <w:rPr>
          <w:rFonts w:eastAsiaTheme="minorEastAsia"/>
        </w:rPr>
        <w:t xml:space="preserve"> vhodný, pokud by chtěla spekulovat na pokles měnových kurzů. Za účelem zajištění je </w:t>
      </w:r>
      <w:r w:rsidR="00591B8B">
        <w:rPr>
          <w:rFonts w:eastAsiaTheme="minorEastAsia"/>
        </w:rPr>
        <w:t xml:space="preserve">však </w:t>
      </w:r>
      <w:r w:rsidR="00D6513E">
        <w:rPr>
          <w:rFonts w:eastAsiaTheme="minorEastAsia"/>
        </w:rPr>
        <w:t>short call opce velmi nevyhovující.</w:t>
      </w:r>
    </w:p>
    <w:p w:rsidR="00D6513E" w:rsidRDefault="00D6513E" w:rsidP="00D6513E">
      <w:pPr>
        <w:spacing w:after="240" w:line="276" w:lineRule="auto"/>
        <w:jc w:val="both"/>
        <w:rPr>
          <w:rFonts w:eastAsiaTheme="minorEastAsia"/>
        </w:rPr>
      </w:pPr>
      <w:r>
        <w:rPr>
          <w:rFonts w:eastAsiaTheme="minorEastAsia"/>
        </w:rPr>
        <w:t xml:space="preserve">Druhou nejvyšší hodnotu přijatých plateb za dobu pěti let obdržela společnost </w:t>
      </w:r>
      <w:r w:rsidR="00DC2772">
        <w:rPr>
          <w:rFonts w:eastAsiaTheme="minorEastAsia"/>
        </w:rPr>
        <w:t>díky sjednání měnového forwardu. K</w:t>
      </w:r>
      <w:r>
        <w:rPr>
          <w:rFonts w:eastAsiaTheme="minorEastAsia"/>
        </w:rPr>
        <w:t xml:space="preserve">onkrétně </w:t>
      </w:r>
      <w:r w:rsidR="00DC2772">
        <w:rPr>
          <w:rFonts w:eastAsiaTheme="minorEastAsia"/>
        </w:rPr>
        <w:t xml:space="preserve">tato suma činí </w:t>
      </w:r>
      <w:r>
        <w:rPr>
          <w:rFonts w:eastAsiaTheme="minorEastAsia"/>
        </w:rPr>
        <w:t>1 272 177,52</w:t>
      </w:r>
      <w:r w:rsidR="00967226">
        <w:rPr>
          <w:rFonts w:eastAsiaTheme="minorEastAsia"/>
        </w:rPr>
        <w:t xml:space="preserve"> </w:t>
      </w:r>
      <w:r w:rsidR="00447807">
        <w:rPr>
          <w:rFonts w:eastAsiaTheme="minorEastAsia"/>
        </w:rPr>
        <w:t>USD</w:t>
      </w:r>
      <w:r>
        <w:rPr>
          <w:rFonts w:eastAsiaTheme="minorEastAsia"/>
        </w:rPr>
        <w:t>. Díky sjednání tohoto kontraktu dojde k fixaci měnového kurzu, a kupující forwardu tak přesně zná hodnotu měnového kurzu, za</w:t>
      </w:r>
      <w:r w:rsidR="00967226">
        <w:rPr>
          <w:rFonts w:eastAsiaTheme="minorEastAsia"/>
        </w:rPr>
        <w:t> </w:t>
      </w:r>
      <w:r>
        <w:rPr>
          <w:rFonts w:eastAsiaTheme="minorEastAsia"/>
        </w:rPr>
        <w:t>který bude v budoucnu směňovat své finanční prostředky. Výhodou měnových forwardů je</w:t>
      </w:r>
      <w:r w:rsidR="00967226">
        <w:rPr>
          <w:rFonts w:eastAsiaTheme="minorEastAsia"/>
        </w:rPr>
        <w:t> </w:t>
      </w:r>
      <w:r>
        <w:rPr>
          <w:rFonts w:eastAsiaTheme="minorEastAsia"/>
        </w:rPr>
        <w:t>taktéž mož</w:t>
      </w:r>
      <w:r w:rsidR="000D1703">
        <w:rPr>
          <w:rFonts w:eastAsiaTheme="minorEastAsia"/>
        </w:rPr>
        <w:t>nost individualizace kontraktů.</w:t>
      </w:r>
      <w:r w:rsidR="00DC2772">
        <w:rPr>
          <w:rFonts w:eastAsiaTheme="minorEastAsia"/>
        </w:rPr>
        <w:t xml:space="preserve"> Značnou nevýhodou je však podstupované úvěrové riziko. Při obchodování s forwardy nedochází k žádné garanci vypořádání kontraktu, proto by si musela společnost Delor pečlivě vybrat partnera obchodu. Nevýhodou také je, že jsou měnové forwardy v praxi sjednávány na vysoké nominální hodnoty. Předpokládejme však, že komerční banka na individuální podmínky společnosti Delor přistoupí.</w:t>
      </w:r>
    </w:p>
    <w:p w:rsidR="00D6513E" w:rsidRDefault="00D6513E" w:rsidP="00D6513E">
      <w:pPr>
        <w:spacing w:after="240" w:line="276" w:lineRule="auto"/>
        <w:jc w:val="both"/>
        <w:rPr>
          <w:rFonts w:eastAsiaTheme="minorEastAsia"/>
        </w:rPr>
      </w:pPr>
      <w:r>
        <w:rPr>
          <w:rFonts w:eastAsiaTheme="minorEastAsia"/>
        </w:rPr>
        <w:t xml:space="preserve">Třetí nejlepší variantou </w:t>
      </w:r>
      <w:r w:rsidR="00591B8B">
        <w:rPr>
          <w:rFonts w:eastAsiaTheme="minorEastAsia"/>
        </w:rPr>
        <w:t xml:space="preserve">by byl </w:t>
      </w:r>
      <w:r>
        <w:rPr>
          <w:rFonts w:eastAsiaTheme="minorEastAsia"/>
        </w:rPr>
        <w:t>za daného vývoje měnového kurzu nákup put opcí. Tato možnost je</w:t>
      </w:r>
      <w:r w:rsidR="000D1703">
        <w:rPr>
          <w:rFonts w:eastAsiaTheme="minorEastAsia"/>
        </w:rPr>
        <w:t> </w:t>
      </w:r>
      <w:r>
        <w:rPr>
          <w:rFonts w:eastAsiaTheme="minorEastAsia"/>
        </w:rPr>
        <w:t xml:space="preserve">zároveň poslední variantou, díky které společnost inkasuje více, než kdyby k zajištění vůbec nedošlo a směnila by své peněžní prostředky v eurech na spotovém trhu. Díky sjednání long put opce společnost </w:t>
      </w:r>
      <w:r w:rsidR="00DC2772">
        <w:rPr>
          <w:rFonts w:eastAsiaTheme="minorEastAsia"/>
        </w:rPr>
        <w:t xml:space="preserve">při daném vývoji měnového kurzu </w:t>
      </w:r>
      <w:r>
        <w:rPr>
          <w:rFonts w:eastAsiaTheme="minorEastAsia"/>
        </w:rPr>
        <w:t xml:space="preserve">získá celkem 1 238 142,17 </w:t>
      </w:r>
      <w:r w:rsidR="00447807">
        <w:rPr>
          <w:rFonts w:eastAsiaTheme="minorEastAsia"/>
        </w:rPr>
        <w:t>USD</w:t>
      </w:r>
      <w:r>
        <w:rPr>
          <w:rFonts w:eastAsiaTheme="minorEastAsia"/>
        </w:rPr>
        <w:t xml:space="preserve">. </w:t>
      </w:r>
    </w:p>
    <w:p w:rsidR="00D6513E" w:rsidRDefault="00D6513E" w:rsidP="00D6513E">
      <w:pPr>
        <w:spacing w:after="240" w:line="276" w:lineRule="auto"/>
        <w:jc w:val="both"/>
        <w:rPr>
          <w:rFonts w:eastAsiaTheme="minorEastAsia"/>
        </w:rPr>
      </w:pPr>
      <w:r>
        <w:rPr>
          <w:rFonts w:eastAsiaTheme="minorEastAsia"/>
        </w:rPr>
        <w:lastRenderedPageBreak/>
        <w:t xml:space="preserve">Otevřením pozic v long put opci dochází ke </w:t>
      </w:r>
      <w:r w:rsidR="00591B8B">
        <w:rPr>
          <w:rFonts w:eastAsiaTheme="minorEastAsia"/>
        </w:rPr>
        <w:t>stanovení fixní realizační ceny a k</w:t>
      </w:r>
      <w:r>
        <w:rPr>
          <w:rFonts w:eastAsiaTheme="minorEastAsia"/>
        </w:rPr>
        <w:t>upující opce má tedy jistou hodnotu měnového kurzu. V případě růstu měnového kurzu se tedy ztráta společnosti nebude zvyšovat. Tímto aspektem je sjednání měnové long put opce shodné s měnovým forwardem. Sjednáním long put opce však současně umožňuje participovat na</w:t>
      </w:r>
      <w:r w:rsidR="000D1703">
        <w:rPr>
          <w:rFonts w:eastAsiaTheme="minorEastAsia"/>
        </w:rPr>
        <w:t> </w:t>
      </w:r>
      <w:r>
        <w:rPr>
          <w:rFonts w:eastAsiaTheme="minorEastAsia"/>
        </w:rPr>
        <w:t>případném příznivém vývoji měnového kurzu, konkrétně na poklesu kurzu měnového páru USD/EUR. Tato možnost představuje významnou v</w:t>
      </w:r>
      <w:r w:rsidR="000D1703">
        <w:rPr>
          <w:rFonts w:eastAsiaTheme="minorEastAsia"/>
        </w:rPr>
        <w:t>ýhodu oproti měnovému forwardu.</w:t>
      </w:r>
    </w:p>
    <w:p w:rsidR="00D6513E" w:rsidRDefault="00D6513E" w:rsidP="00D6513E">
      <w:pPr>
        <w:spacing w:after="240" w:line="276" w:lineRule="auto"/>
        <w:jc w:val="both"/>
        <w:rPr>
          <w:rFonts w:eastAsiaTheme="minorEastAsia"/>
        </w:rPr>
      </w:pPr>
      <w:r>
        <w:rPr>
          <w:rFonts w:eastAsiaTheme="minorEastAsia"/>
        </w:rPr>
        <w:t>Naopak, velmi důležitým negativem je platba opční prémie. Jak bylo ukázáno, opční prémie</w:t>
      </w:r>
      <w:r w:rsidR="000D1703">
        <w:rPr>
          <w:rFonts w:eastAsiaTheme="minorEastAsia"/>
        </w:rPr>
        <w:t xml:space="preserve"> za opci se splatností pět let již</w:t>
      </w:r>
      <w:r>
        <w:rPr>
          <w:rFonts w:eastAsiaTheme="minorEastAsia"/>
        </w:rPr>
        <w:t xml:space="preserve"> dosahuje vysokých hodnot, což výrazně ovlivňuje konečný výsledek zajištění. Možným východiskem z této situace je případné uzavření opcí pouze například na </w:t>
      </w:r>
      <w:r w:rsidR="00DC2772">
        <w:rPr>
          <w:rFonts w:eastAsiaTheme="minorEastAsia"/>
        </w:rPr>
        <w:t xml:space="preserve">maximální dobu </w:t>
      </w:r>
      <w:r>
        <w:rPr>
          <w:rFonts w:eastAsiaTheme="minorEastAsia"/>
        </w:rPr>
        <w:t xml:space="preserve">dva a </w:t>
      </w:r>
      <w:r w:rsidR="00591B8B">
        <w:rPr>
          <w:rFonts w:eastAsiaTheme="minorEastAsia"/>
        </w:rPr>
        <w:t>půl roku, a po této době sjednání nových opcí</w:t>
      </w:r>
      <w:r>
        <w:rPr>
          <w:rFonts w:eastAsiaTheme="minorEastAsia"/>
        </w:rPr>
        <w:t>, opět na</w:t>
      </w:r>
      <w:r w:rsidR="00DC2772">
        <w:rPr>
          <w:rFonts w:eastAsiaTheme="minorEastAsia"/>
        </w:rPr>
        <w:t xml:space="preserve"> maximální dobu </w:t>
      </w:r>
      <w:r>
        <w:rPr>
          <w:rFonts w:eastAsiaTheme="minorEastAsia"/>
        </w:rPr>
        <w:t xml:space="preserve">dva a půl roku. Tím </w:t>
      </w:r>
      <w:r w:rsidR="00591B8B">
        <w:rPr>
          <w:rFonts w:eastAsiaTheme="minorEastAsia"/>
        </w:rPr>
        <w:t>by došlo</w:t>
      </w:r>
      <w:r>
        <w:rPr>
          <w:rFonts w:eastAsiaTheme="minorEastAsia"/>
        </w:rPr>
        <w:t xml:space="preserve"> ke snížení opční prémie </w:t>
      </w:r>
      <w:r w:rsidR="00DC2772">
        <w:rPr>
          <w:rFonts w:eastAsiaTheme="minorEastAsia"/>
        </w:rPr>
        <w:t>vzhledem ke</w:t>
      </w:r>
      <w:r>
        <w:rPr>
          <w:rFonts w:eastAsiaTheme="minorEastAsia"/>
        </w:rPr>
        <w:t xml:space="preserve"> snížení doby do splatnosti opce. Na druhou stranu, cenu opce ovlivňuje taktéž spotový měnový kurz. Proto nelze tvrdit, že takovéto rozdělení koupě opcí by bylo optimální variantou. Vše</w:t>
      </w:r>
      <w:r w:rsidR="00DC2772">
        <w:rPr>
          <w:rFonts w:eastAsiaTheme="minorEastAsia"/>
        </w:rPr>
        <w:t> </w:t>
      </w:r>
      <w:r>
        <w:rPr>
          <w:rFonts w:eastAsiaTheme="minorEastAsia"/>
        </w:rPr>
        <w:t xml:space="preserve">nepochybně závisí na pohybu měnových kurzů na spotovém trhu. </w:t>
      </w:r>
    </w:p>
    <w:p w:rsidR="0048473C" w:rsidRDefault="00D6513E" w:rsidP="00D6513E">
      <w:pPr>
        <w:spacing w:after="240" w:line="276" w:lineRule="auto"/>
        <w:jc w:val="both"/>
        <w:rPr>
          <w:rFonts w:eastAsiaTheme="minorEastAsia"/>
        </w:rPr>
      </w:pPr>
      <w:r>
        <w:rPr>
          <w:rFonts w:eastAsiaTheme="minorEastAsia"/>
        </w:rPr>
        <w:t xml:space="preserve">Pro společnost </w:t>
      </w:r>
      <w:r w:rsidR="00361DA1">
        <w:rPr>
          <w:rFonts w:eastAsiaTheme="minorEastAsia"/>
        </w:rPr>
        <w:t>Delor</w:t>
      </w:r>
      <w:r>
        <w:rPr>
          <w:rFonts w:eastAsiaTheme="minorEastAsia"/>
        </w:rPr>
        <w:t xml:space="preserve"> je tedy nejlepším způsobem zajištění proti </w:t>
      </w:r>
      <w:r w:rsidR="00DC2772">
        <w:rPr>
          <w:rFonts w:eastAsiaTheme="minorEastAsia"/>
        </w:rPr>
        <w:t>měnovému riziku měnový forward či</w:t>
      </w:r>
      <w:r>
        <w:rPr>
          <w:rFonts w:eastAsiaTheme="minorEastAsia"/>
        </w:rPr>
        <w:t xml:space="preserve"> měnová long put opce. Pokud by společnost preferovala zajištění přesto, že by</w:t>
      </w:r>
      <w:r w:rsidR="00DC2772">
        <w:rPr>
          <w:rFonts w:eastAsiaTheme="minorEastAsia"/>
        </w:rPr>
        <w:t> </w:t>
      </w:r>
      <w:r>
        <w:rPr>
          <w:rFonts w:eastAsiaTheme="minorEastAsia"/>
        </w:rPr>
        <w:t>do</w:t>
      </w:r>
      <w:r w:rsidR="00DC2772">
        <w:rPr>
          <w:rFonts w:eastAsiaTheme="minorEastAsia"/>
        </w:rPr>
        <w:t> </w:t>
      </w:r>
      <w:r>
        <w:rPr>
          <w:rFonts w:eastAsiaTheme="minorEastAsia"/>
        </w:rPr>
        <w:t xml:space="preserve">budoucna očekávala </w:t>
      </w:r>
      <w:r w:rsidR="000D1703">
        <w:rPr>
          <w:rFonts w:eastAsiaTheme="minorEastAsia"/>
        </w:rPr>
        <w:t xml:space="preserve">možný </w:t>
      </w:r>
      <w:r>
        <w:rPr>
          <w:rFonts w:eastAsiaTheme="minorEastAsia"/>
        </w:rPr>
        <w:t xml:space="preserve">pokles měnového kurzu USD/EUR, bylo by vhodnou volbou zajištění prostřednictvím měnové put opce. Pokud se však </w:t>
      </w:r>
      <w:r w:rsidR="00361DA1">
        <w:rPr>
          <w:rFonts w:eastAsiaTheme="minorEastAsia"/>
        </w:rPr>
        <w:t>Delor</w:t>
      </w:r>
      <w:r>
        <w:rPr>
          <w:rFonts w:eastAsiaTheme="minorEastAsia"/>
        </w:rPr>
        <w:t xml:space="preserve"> obá</w:t>
      </w:r>
      <w:r w:rsidR="0048473C">
        <w:rPr>
          <w:rFonts w:eastAsiaTheme="minorEastAsia"/>
        </w:rPr>
        <w:t>vá růstu měnového kurzu USD/EUR a neočekává možný opačný vývoj,</w:t>
      </w:r>
      <w:r>
        <w:rPr>
          <w:rFonts w:eastAsiaTheme="minorEastAsia"/>
        </w:rPr>
        <w:t xml:space="preserve"> příhodnou variantou zajištění </w:t>
      </w:r>
      <w:r w:rsidR="0048473C">
        <w:rPr>
          <w:rFonts w:eastAsiaTheme="minorEastAsia"/>
        </w:rPr>
        <w:t xml:space="preserve">by byl </w:t>
      </w:r>
      <w:r>
        <w:rPr>
          <w:rFonts w:eastAsiaTheme="minorEastAsia"/>
        </w:rPr>
        <w:t>měnový forward.</w:t>
      </w:r>
      <w:r w:rsidR="0048473C">
        <w:rPr>
          <w:rFonts w:eastAsiaTheme="minorEastAsia"/>
        </w:rPr>
        <w:t xml:space="preserve"> </w:t>
      </w:r>
    </w:p>
    <w:p w:rsidR="00D6513E" w:rsidRDefault="0048473C" w:rsidP="00D6513E">
      <w:pPr>
        <w:spacing w:after="240" w:line="276" w:lineRule="auto"/>
        <w:jc w:val="both"/>
        <w:rPr>
          <w:rFonts w:eastAsiaTheme="minorEastAsia"/>
        </w:rPr>
      </w:pPr>
      <w:r>
        <w:rPr>
          <w:rFonts w:eastAsiaTheme="minorEastAsia"/>
        </w:rPr>
        <w:t>Jelikož společnost Delor obchoduje s měnovými forwardy i opcemi mimoburzovně, je pro ni</w:t>
      </w:r>
      <w:r w:rsidR="00DC2772">
        <w:rPr>
          <w:rFonts w:eastAsiaTheme="minorEastAsia"/>
        </w:rPr>
        <w:t> </w:t>
      </w:r>
      <w:r>
        <w:rPr>
          <w:rFonts w:eastAsiaTheme="minorEastAsia"/>
        </w:rPr>
        <w:t>důležité omezit úvěrové riziko tím, že bude obchodovat s důvěryhodným partnerem. Pro</w:t>
      </w:r>
      <w:r w:rsidR="00DC2772">
        <w:rPr>
          <w:rFonts w:eastAsiaTheme="minorEastAsia"/>
        </w:rPr>
        <w:t> </w:t>
      </w:r>
      <w:r>
        <w:rPr>
          <w:rFonts w:eastAsiaTheme="minorEastAsia"/>
        </w:rPr>
        <w:t xml:space="preserve">společnost by </w:t>
      </w:r>
      <w:r w:rsidR="001801A1">
        <w:rPr>
          <w:rFonts w:eastAsiaTheme="minorEastAsia"/>
        </w:rPr>
        <w:t xml:space="preserve">tedy </w:t>
      </w:r>
      <w:r>
        <w:rPr>
          <w:rFonts w:eastAsiaTheme="minorEastAsia"/>
        </w:rPr>
        <w:t>v tomto případě bylo významné znát rating obchodního partnera.</w:t>
      </w:r>
    </w:p>
    <w:p w:rsidR="00C72144" w:rsidRDefault="00C72144">
      <w:pPr>
        <w:suppressAutoHyphens w:val="0"/>
        <w:spacing w:after="200" w:line="276" w:lineRule="auto"/>
        <w:rPr>
          <w:rFonts w:eastAsiaTheme="minorEastAsia"/>
        </w:rPr>
      </w:pPr>
      <w:r>
        <w:rPr>
          <w:rFonts w:eastAsiaTheme="minorEastAsia"/>
        </w:rPr>
        <w:br w:type="page"/>
      </w:r>
    </w:p>
    <w:p w:rsidR="00C72144" w:rsidRDefault="00C72144" w:rsidP="00F000E4">
      <w:pPr>
        <w:pStyle w:val="Nadpis1"/>
        <w:numPr>
          <w:ilvl w:val="0"/>
          <w:numId w:val="0"/>
        </w:numPr>
        <w:ind w:left="432" w:hanging="432"/>
        <w:rPr>
          <w:rFonts w:eastAsiaTheme="minorEastAsia"/>
        </w:rPr>
      </w:pPr>
      <w:bookmarkStart w:id="105" w:name="_Toc354393080"/>
      <w:r w:rsidRPr="00C72144">
        <w:rPr>
          <w:rFonts w:eastAsiaTheme="minorEastAsia"/>
        </w:rPr>
        <w:lastRenderedPageBreak/>
        <w:t>ZÁVĚR</w:t>
      </w:r>
      <w:bookmarkEnd w:id="105"/>
    </w:p>
    <w:p w:rsidR="00C72144" w:rsidRDefault="00C72144" w:rsidP="00F51FEA">
      <w:pPr>
        <w:spacing w:after="240" w:line="276" w:lineRule="auto"/>
        <w:jc w:val="both"/>
        <w:rPr>
          <w:rFonts w:eastAsiaTheme="minorEastAsia"/>
          <w:b/>
          <w:szCs w:val="40"/>
          <w:lang w:eastAsia="cs-CZ"/>
        </w:rPr>
      </w:pPr>
    </w:p>
    <w:p w:rsidR="002B71ED" w:rsidRDefault="00F51FEA" w:rsidP="00F51FEA">
      <w:pPr>
        <w:spacing w:after="240" w:line="276" w:lineRule="auto"/>
        <w:jc w:val="both"/>
        <w:rPr>
          <w:rFonts w:eastAsiaTheme="minorEastAsia"/>
          <w:szCs w:val="40"/>
          <w:lang w:eastAsia="cs-CZ"/>
        </w:rPr>
      </w:pPr>
      <w:r>
        <w:rPr>
          <w:rFonts w:eastAsiaTheme="minorEastAsia"/>
          <w:szCs w:val="40"/>
          <w:lang w:eastAsia="cs-CZ"/>
        </w:rPr>
        <w:t>Trh s deriváty nepochybně zaujímá významné postavení na finančním trhu. Účastníky vyskytující se na tomto trhu lze v zásadě rozdělit do dvou skupin – na zajišťovatele a</w:t>
      </w:r>
      <w:r w:rsidR="00B34993">
        <w:rPr>
          <w:rFonts w:eastAsiaTheme="minorEastAsia"/>
          <w:szCs w:val="40"/>
          <w:lang w:eastAsia="cs-CZ"/>
        </w:rPr>
        <w:t> </w:t>
      </w:r>
      <w:r>
        <w:rPr>
          <w:rFonts w:eastAsiaTheme="minorEastAsia"/>
          <w:szCs w:val="40"/>
          <w:lang w:eastAsia="cs-CZ"/>
        </w:rPr>
        <w:t>spekulanty.</w:t>
      </w:r>
      <w:r w:rsidR="00B34993">
        <w:rPr>
          <w:rFonts w:eastAsiaTheme="minorEastAsia"/>
          <w:szCs w:val="40"/>
          <w:lang w:eastAsia="cs-CZ"/>
        </w:rPr>
        <w:t xml:space="preserve"> Zajišťovatelé se snaží </w:t>
      </w:r>
      <w:r w:rsidR="007616BB">
        <w:rPr>
          <w:rFonts w:eastAsiaTheme="minorEastAsia"/>
          <w:szCs w:val="40"/>
          <w:lang w:eastAsia="cs-CZ"/>
        </w:rPr>
        <w:t>snížit či zcela eliminovat možná rizika</w:t>
      </w:r>
      <w:r w:rsidR="00B34993">
        <w:rPr>
          <w:rFonts w:eastAsiaTheme="minorEastAsia"/>
          <w:szCs w:val="40"/>
          <w:lang w:eastAsia="cs-CZ"/>
        </w:rPr>
        <w:t>, cílem spekulantů je</w:t>
      </w:r>
      <w:r w:rsidR="002B71ED">
        <w:rPr>
          <w:rFonts w:eastAsiaTheme="minorEastAsia"/>
          <w:szCs w:val="40"/>
          <w:lang w:eastAsia="cs-CZ"/>
        </w:rPr>
        <w:t xml:space="preserve"> generovat v krátkém časovém horizontu maximální zisk. </w:t>
      </w:r>
    </w:p>
    <w:p w:rsidR="007616BB" w:rsidRDefault="007616BB" w:rsidP="00F51FEA">
      <w:pPr>
        <w:spacing w:after="240" w:line="276" w:lineRule="auto"/>
        <w:jc w:val="both"/>
        <w:rPr>
          <w:kern w:val="28"/>
          <w:szCs w:val="20"/>
          <w:lang w:eastAsia="cs-CZ"/>
        </w:rPr>
      </w:pPr>
      <w:r>
        <w:rPr>
          <w:rFonts w:eastAsiaTheme="minorEastAsia"/>
          <w:szCs w:val="40"/>
          <w:lang w:eastAsia="cs-CZ"/>
        </w:rPr>
        <w:t>Cílem této práce byla analýza finančních derivátů</w:t>
      </w:r>
      <w:r w:rsidRPr="007616BB">
        <w:rPr>
          <w:kern w:val="28"/>
          <w:szCs w:val="20"/>
          <w:lang w:eastAsia="cs-CZ"/>
        </w:rPr>
        <w:t xml:space="preserve"> </w:t>
      </w:r>
      <w:r w:rsidRPr="00F74B1E">
        <w:rPr>
          <w:kern w:val="28"/>
          <w:szCs w:val="20"/>
          <w:lang w:eastAsia="cs-CZ"/>
        </w:rPr>
        <w:t>při řízení úrokového a měnového rizika a</w:t>
      </w:r>
      <w:r>
        <w:rPr>
          <w:kern w:val="28"/>
          <w:szCs w:val="20"/>
          <w:lang w:eastAsia="cs-CZ"/>
        </w:rPr>
        <w:t> </w:t>
      </w:r>
      <w:r w:rsidRPr="00F74B1E">
        <w:rPr>
          <w:kern w:val="28"/>
          <w:szCs w:val="20"/>
          <w:lang w:eastAsia="cs-CZ"/>
        </w:rPr>
        <w:t xml:space="preserve">vyhodnocení aplikace jednotlivých derivátových instrumentů v praxi. </w:t>
      </w:r>
      <w:r>
        <w:rPr>
          <w:kern w:val="28"/>
          <w:szCs w:val="20"/>
          <w:lang w:eastAsia="cs-CZ"/>
        </w:rPr>
        <w:t>Dílčím cílem bylo </w:t>
      </w:r>
      <w:r w:rsidRPr="00F74B1E">
        <w:rPr>
          <w:kern w:val="28"/>
          <w:szCs w:val="20"/>
          <w:lang w:eastAsia="cs-CZ"/>
        </w:rPr>
        <w:t>nalezení a popsání nejefektivnějšího způsobu zajištění pomocí úrokových a měnových derivátů vzhledem ke konkrétnímu modelovému příkladu.</w:t>
      </w:r>
    </w:p>
    <w:p w:rsidR="00184772" w:rsidRDefault="007616BB" w:rsidP="00F51FEA">
      <w:pPr>
        <w:spacing w:after="240" w:line="276" w:lineRule="auto"/>
        <w:jc w:val="both"/>
        <w:rPr>
          <w:rFonts w:eastAsiaTheme="minorEastAsia"/>
          <w:szCs w:val="40"/>
          <w:lang w:eastAsia="cs-CZ"/>
        </w:rPr>
      </w:pPr>
      <w:r>
        <w:rPr>
          <w:rFonts w:eastAsiaTheme="minorEastAsia"/>
          <w:szCs w:val="40"/>
          <w:lang w:eastAsia="cs-CZ"/>
        </w:rPr>
        <w:t>Analýza možností a způsobů zajištění byla demonstrována</w:t>
      </w:r>
      <w:r w:rsidR="002B71ED">
        <w:rPr>
          <w:rFonts w:eastAsiaTheme="minorEastAsia"/>
          <w:szCs w:val="40"/>
          <w:lang w:eastAsia="cs-CZ"/>
        </w:rPr>
        <w:t xml:space="preserve"> </w:t>
      </w:r>
      <w:r>
        <w:rPr>
          <w:rFonts w:eastAsiaTheme="minorEastAsia"/>
          <w:szCs w:val="40"/>
          <w:lang w:eastAsia="cs-CZ"/>
        </w:rPr>
        <w:t xml:space="preserve">především </w:t>
      </w:r>
      <w:r w:rsidR="002B71ED">
        <w:rPr>
          <w:rFonts w:eastAsiaTheme="minorEastAsia"/>
          <w:szCs w:val="40"/>
          <w:lang w:eastAsia="cs-CZ"/>
        </w:rPr>
        <w:t>v závěrečné kapitole</w:t>
      </w:r>
      <w:r>
        <w:rPr>
          <w:rFonts w:eastAsiaTheme="minorEastAsia"/>
          <w:szCs w:val="40"/>
          <w:lang w:eastAsia="cs-CZ"/>
        </w:rPr>
        <w:t xml:space="preserve"> práce</w:t>
      </w:r>
      <w:r w:rsidR="00B4036F">
        <w:rPr>
          <w:rFonts w:eastAsiaTheme="minorEastAsia"/>
          <w:szCs w:val="40"/>
          <w:lang w:eastAsia="cs-CZ"/>
        </w:rPr>
        <w:t>, která čerpala z teoretických východisek uvedených v předchozích kapitolách</w:t>
      </w:r>
      <w:r w:rsidR="002B71ED">
        <w:rPr>
          <w:rFonts w:eastAsiaTheme="minorEastAsia"/>
          <w:szCs w:val="40"/>
          <w:lang w:eastAsia="cs-CZ"/>
        </w:rPr>
        <w:t>. Pro</w:t>
      </w:r>
      <w:r w:rsidR="00B4036F">
        <w:rPr>
          <w:rFonts w:eastAsiaTheme="minorEastAsia"/>
          <w:szCs w:val="40"/>
          <w:lang w:eastAsia="cs-CZ"/>
        </w:rPr>
        <w:t> </w:t>
      </w:r>
      <w:r w:rsidR="002B71ED">
        <w:rPr>
          <w:rFonts w:eastAsiaTheme="minorEastAsia"/>
          <w:szCs w:val="40"/>
          <w:lang w:eastAsia="cs-CZ"/>
        </w:rPr>
        <w:t>názorn</w:t>
      </w:r>
      <w:r w:rsidR="001A240A">
        <w:rPr>
          <w:rFonts w:eastAsiaTheme="minorEastAsia"/>
          <w:szCs w:val="40"/>
          <w:lang w:eastAsia="cs-CZ"/>
        </w:rPr>
        <w:t>ou ukázku zajištění bylo použito modelového příkladu smyšlené společnosti Delor a</w:t>
      </w:r>
      <w:r w:rsidR="00184772">
        <w:rPr>
          <w:rFonts w:eastAsiaTheme="minorEastAsia"/>
          <w:szCs w:val="40"/>
          <w:lang w:eastAsia="cs-CZ"/>
        </w:rPr>
        <w:t> </w:t>
      </w:r>
      <w:r w:rsidR="001A240A" w:rsidRPr="0046182F">
        <w:rPr>
          <w:rFonts w:eastAsiaTheme="minorEastAsia"/>
          <w:szCs w:val="40"/>
          <w:lang w:eastAsia="cs-CZ"/>
        </w:rPr>
        <w:t>simulovaného vývoje měnových kurzů a úrokových sazeb na trhu</w:t>
      </w:r>
      <w:r w:rsidR="00184772">
        <w:rPr>
          <w:rFonts w:eastAsiaTheme="minorEastAsia"/>
          <w:szCs w:val="40"/>
          <w:lang w:eastAsia="cs-CZ"/>
        </w:rPr>
        <w:t>.</w:t>
      </w:r>
    </w:p>
    <w:p w:rsidR="001A240A" w:rsidRDefault="001A240A" w:rsidP="00F51FEA">
      <w:pPr>
        <w:spacing w:after="240" w:line="276" w:lineRule="auto"/>
        <w:jc w:val="both"/>
        <w:rPr>
          <w:rFonts w:eastAsiaTheme="minorEastAsia"/>
          <w:szCs w:val="40"/>
          <w:lang w:eastAsia="cs-CZ"/>
        </w:rPr>
      </w:pPr>
      <w:r>
        <w:rPr>
          <w:rFonts w:eastAsiaTheme="minorEastAsia"/>
          <w:szCs w:val="40"/>
          <w:lang w:eastAsia="cs-CZ"/>
        </w:rPr>
        <w:t>Postupně bylo provedeno zajištění měnového rizika pomocí měnových forwardů, měnových futures a dvou typů měnových opcí – long put opce a short call opce. Vzhledem k nastavení modelového příkladu bylo zajištění úrokového rizika vypracováno pouze pomocí úrokového swapu. Výsledky jednotlivých možností zajištění byly následně metodou komparace porovnány.</w:t>
      </w:r>
      <w:r w:rsidR="00A44454">
        <w:rPr>
          <w:rFonts w:eastAsiaTheme="minorEastAsia"/>
          <w:szCs w:val="40"/>
          <w:lang w:eastAsia="cs-CZ"/>
        </w:rPr>
        <w:t xml:space="preserve"> Pro komparaci byly použity výsledné hodnoty inkasovaných plateb, tedy „zisk</w:t>
      </w:r>
      <w:r w:rsidR="00EB4EF4">
        <w:rPr>
          <w:rFonts w:eastAsiaTheme="minorEastAsia"/>
          <w:szCs w:val="40"/>
          <w:lang w:eastAsia="cs-CZ"/>
        </w:rPr>
        <w:t>y</w:t>
      </w:r>
      <w:r w:rsidR="00A44454">
        <w:rPr>
          <w:rFonts w:eastAsiaTheme="minorEastAsia"/>
          <w:szCs w:val="40"/>
          <w:lang w:eastAsia="cs-CZ"/>
        </w:rPr>
        <w:t xml:space="preserve">“ plynoucí ze zajištění. Tyto údaje byly využity pouze pro orientační srovnání jednotlivých alternativ. Cílem </w:t>
      </w:r>
      <w:r w:rsidR="00A44454" w:rsidRPr="00F427D1">
        <w:rPr>
          <w:rFonts w:eastAsiaTheme="minorEastAsia"/>
          <w:i/>
          <w:szCs w:val="40"/>
          <w:lang w:eastAsia="cs-CZ"/>
        </w:rPr>
        <w:t>hedgingu</w:t>
      </w:r>
      <w:r w:rsidR="00A44454">
        <w:rPr>
          <w:rFonts w:eastAsiaTheme="minorEastAsia"/>
          <w:szCs w:val="40"/>
          <w:lang w:eastAsia="cs-CZ"/>
        </w:rPr>
        <w:t xml:space="preserve"> není zisk</w:t>
      </w:r>
      <w:r w:rsidR="00F427D1">
        <w:rPr>
          <w:rFonts w:eastAsiaTheme="minorEastAsia"/>
          <w:szCs w:val="40"/>
          <w:lang w:eastAsia="cs-CZ"/>
        </w:rPr>
        <w:t>, nýbrž eliminace rizika plynoucího z nepříznivých pohybů cen podkladových aktiv, proto nelze výsledné „zisky“ zajištění považovat za</w:t>
      </w:r>
      <w:r w:rsidR="007616BB">
        <w:rPr>
          <w:rFonts w:eastAsiaTheme="minorEastAsia"/>
          <w:szCs w:val="40"/>
          <w:lang w:eastAsia="cs-CZ"/>
        </w:rPr>
        <w:t> </w:t>
      </w:r>
      <w:r w:rsidR="00F427D1">
        <w:rPr>
          <w:rFonts w:eastAsiaTheme="minorEastAsia"/>
          <w:szCs w:val="40"/>
          <w:lang w:eastAsia="cs-CZ"/>
        </w:rPr>
        <w:t>rozhodující prvky pro výběr způsobu řízení rizika.</w:t>
      </w:r>
    </w:p>
    <w:p w:rsidR="00146903" w:rsidRDefault="00A84F32" w:rsidP="00A84F32">
      <w:pPr>
        <w:spacing w:after="240" w:line="276" w:lineRule="auto"/>
        <w:jc w:val="both"/>
        <w:rPr>
          <w:rFonts w:eastAsiaTheme="minorEastAsia"/>
          <w:szCs w:val="40"/>
          <w:lang w:eastAsia="cs-CZ"/>
        </w:rPr>
      </w:pPr>
      <w:r>
        <w:rPr>
          <w:rFonts w:eastAsiaTheme="minorEastAsia"/>
          <w:szCs w:val="40"/>
          <w:lang w:eastAsia="cs-CZ"/>
        </w:rPr>
        <w:t xml:space="preserve">Na základě získaných výsledků a po vhodné úvaze nad nimi lze tvrdit, že nejefektivnějšími a nejvhodnějšími derivátovými nástroji pro řízení </w:t>
      </w:r>
      <w:r w:rsidR="00146903">
        <w:rPr>
          <w:rFonts w:eastAsiaTheme="minorEastAsia"/>
          <w:szCs w:val="40"/>
          <w:lang w:eastAsia="cs-CZ"/>
        </w:rPr>
        <w:t>rizik jsou instrumenty obchodující se na OTC trzích. Mimoburzovní sjednávání kontraktů je pro zajišťovatele vyhovující z toho důvodu, že je možno sjednat kontrakt „na míru“ dle jeho potřeb. Nižší likvidnost OTC trhu pro zajišťovatele není překážkou, nesnaží se již s jednou sjednaným kontraktem obchodovat.</w:t>
      </w:r>
    </w:p>
    <w:p w:rsidR="00A84F32" w:rsidRDefault="00146903" w:rsidP="00A84F32">
      <w:pPr>
        <w:spacing w:after="240" w:line="276" w:lineRule="auto"/>
        <w:jc w:val="both"/>
        <w:rPr>
          <w:rFonts w:eastAsiaTheme="minorEastAsia"/>
          <w:szCs w:val="40"/>
          <w:lang w:eastAsia="cs-CZ"/>
        </w:rPr>
      </w:pPr>
      <w:r>
        <w:rPr>
          <w:rFonts w:eastAsiaTheme="minorEastAsia"/>
          <w:szCs w:val="40"/>
          <w:lang w:eastAsia="cs-CZ"/>
        </w:rPr>
        <w:t xml:space="preserve">K řízení měnového a úrokového rizika jsou tedy nejvhodnějšími kontrakty </w:t>
      </w:r>
      <w:r w:rsidR="00F000E4">
        <w:rPr>
          <w:rFonts w:eastAsiaTheme="minorEastAsia"/>
          <w:szCs w:val="40"/>
          <w:lang w:eastAsia="cs-CZ"/>
        </w:rPr>
        <w:t>měnové</w:t>
      </w:r>
      <w:r>
        <w:rPr>
          <w:rFonts w:eastAsiaTheme="minorEastAsia"/>
          <w:szCs w:val="40"/>
          <w:lang w:eastAsia="cs-CZ"/>
        </w:rPr>
        <w:t xml:space="preserve"> a úrokové</w:t>
      </w:r>
      <w:r w:rsidR="00A84F32">
        <w:rPr>
          <w:rFonts w:eastAsiaTheme="minorEastAsia"/>
          <w:szCs w:val="40"/>
          <w:lang w:eastAsia="cs-CZ"/>
        </w:rPr>
        <w:t xml:space="preserve"> forwardy či</w:t>
      </w:r>
      <w:r w:rsidR="00F000E4">
        <w:rPr>
          <w:rFonts w:eastAsiaTheme="minorEastAsia"/>
          <w:szCs w:val="40"/>
          <w:lang w:eastAsia="cs-CZ"/>
        </w:rPr>
        <w:t> </w:t>
      </w:r>
      <w:r w:rsidR="00A84F32">
        <w:rPr>
          <w:rFonts w:eastAsiaTheme="minorEastAsia"/>
          <w:szCs w:val="40"/>
          <w:lang w:eastAsia="cs-CZ"/>
        </w:rPr>
        <w:t>měnové</w:t>
      </w:r>
      <w:r>
        <w:rPr>
          <w:rFonts w:eastAsiaTheme="minorEastAsia"/>
          <w:szCs w:val="40"/>
          <w:lang w:eastAsia="cs-CZ"/>
        </w:rPr>
        <w:t xml:space="preserve"> a úrokové</w:t>
      </w:r>
      <w:r w:rsidR="00A84F32">
        <w:rPr>
          <w:rFonts w:eastAsiaTheme="minorEastAsia"/>
          <w:szCs w:val="40"/>
          <w:lang w:eastAsia="cs-CZ"/>
        </w:rPr>
        <w:t xml:space="preserve"> opce. V případě specifických podmínek pozice zajišťovatele by bylo možné použít také měnových či úrokových swapů.</w:t>
      </w:r>
      <w:r w:rsidR="001801A1">
        <w:rPr>
          <w:rFonts w:eastAsiaTheme="minorEastAsia"/>
          <w:szCs w:val="40"/>
          <w:lang w:eastAsia="cs-CZ"/>
        </w:rPr>
        <w:t xml:space="preserve"> </w:t>
      </w:r>
      <w:r w:rsidR="007616BB">
        <w:rPr>
          <w:rFonts w:eastAsiaTheme="minorEastAsia"/>
          <w:szCs w:val="40"/>
          <w:lang w:eastAsia="cs-CZ"/>
        </w:rPr>
        <w:t>Každá z těchto variant přináší určité výhody a nevýhody, j</w:t>
      </w:r>
      <w:r w:rsidR="00A84F32">
        <w:rPr>
          <w:rFonts w:eastAsiaTheme="minorEastAsia"/>
          <w:szCs w:val="40"/>
          <w:lang w:eastAsia="cs-CZ"/>
        </w:rPr>
        <w:t>e volbou investora, kterou z těchto variant zvolí. Volbu by měl vždy provést po analýze svých pozic, dle očekávání budoucího vývoje a</w:t>
      </w:r>
      <w:r w:rsidR="00F000E4">
        <w:rPr>
          <w:rFonts w:eastAsiaTheme="minorEastAsia"/>
          <w:szCs w:val="40"/>
          <w:lang w:eastAsia="cs-CZ"/>
        </w:rPr>
        <w:t> </w:t>
      </w:r>
      <w:r w:rsidR="00A84F32">
        <w:rPr>
          <w:rFonts w:eastAsiaTheme="minorEastAsia"/>
          <w:szCs w:val="40"/>
          <w:lang w:eastAsia="cs-CZ"/>
        </w:rPr>
        <w:t>dle svých preferencí.</w:t>
      </w:r>
      <w:r w:rsidR="001801A1" w:rsidRPr="001801A1">
        <w:rPr>
          <w:rFonts w:eastAsiaTheme="minorEastAsia"/>
          <w:szCs w:val="40"/>
          <w:lang w:eastAsia="cs-CZ"/>
        </w:rPr>
        <w:t xml:space="preserve"> </w:t>
      </w:r>
      <w:r w:rsidR="001801A1">
        <w:rPr>
          <w:rFonts w:eastAsiaTheme="minorEastAsia"/>
          <w:szCs w:val="40"/>
          <w:lang w:eastAsia="cs-CZ"/>
        </w:rPr>
        <w:t>Je ovšem třeba mít na paměti, že</w:t>
      </w:r>
      <w:r>
        <w:rPr>
          <w:rFonts w:eastAsiaTheme="minorEastAsia"/>
          <w:szCs w:val="40"/>
          <w:lang w:eastAsia="cs-CZ"/>
        </w:rPr>
        <w:t xml:space="preserve"> mimoburzovní</w:t>
      </w:r>
      <w:r w:rsidR="001801A1">
        <w:rPr>
          <w:rFonts w:eastAsiaTheme="minorEastAsia"/>
          <w:szCs w:val="40"/>
          <w:lang w:eastAsia="cs-CZ"/>
        </w:rPr>
        <w:t xml:space="preserve"> obchodování s těmito kontrakty s sebou nese úvěrové riziko, a proto je nutné věnovat zvýšenou pozornost výběru obchodního partnera.</w:t>
      </w:r>
    </w:p>
    <w:p w:rsidR="00A84F32" w:rsidRDefault="00A84F32" w:rsidP="00A84F32">
      <w:pPr>
        <w:spacing w:after="240" w:line="276" w:lineRule="auto"/>
        <w:jc w:val="both"/>
        <w:rPr>
          <w:rFonts w:eastAsiaTheme="minorEastAsia"/>
          <w:szCs w:val="40"/>
          <w:lang w:eastAsia="cs-CZ"/>
        </w:rPr>
      </w:pPr>
      <w:r>
        <w:rPr>
          <w:rFonts w:eastAsiaTheme="minorEastAsia"/>
          <w:szCs w:val="40"/>
          <w:lang w:eastAsia="cs-CZ"/>
        </w:rPr>
        <w:t xml:space="preserve">Na základě analýzy dat lze konstatovat, že futures kontrakty </w:t>
      </w:r>
      <w:r w:rsidR="00BC0E8B">
        <w:rPr>
          <w:rFonts w:eastAsiaTheme="minorEastAsia"/>
          <w:szCs w:val="40"/>
          <w:lang w:eastAsia="cs-CZ"/>
        </w:rPr>
        <w:t xml:space="preserve">nejsou příliš vhodnou variantou </w:t>
      </w:r>
      <w:r>
        <w:rPr>
          <w:rFonts w:eastAsiaTheme="minorEastAsia"/>
          <w:szCs w:val="40"/>
          <w:lang w:eastAsia="cs-CZ"/>
        </w:rPr>
        <w:t>pro zajištění</w:t>
      </w:r>
      <w:r w:rsidR="00BC0E8B">
        <w:rPr>
          <w:rFonts w:eastAsiaTheme="minorEastAsia"/>
          <w:szCs w:val="40"/>
          <w:lang w:eastAsia="cs-CZ"/>
        </w:rPr>
        <w:t xml:space="preserve"> rizik</w:t>
      </w:r>
      <w:r>
        <w:rPr>
          <w:rFonts w:eastAsiaTheme="minorEastAsia"/>
          <w:szCs w:val="40"/>
          <w:lang w:eastAsia="cs-CZ"/>
        </w:rPr>
        <w:t xml:space="preserve">. Jejich využití pro řízení </w:t>
      </w:r>
      <w:r w:rsidR="00BC0E8B">
        <w:rPr>
          <w:rFonts w:eastAsiaTheme="minorEastAsia"/>
          <w:szCs w:val="40"/>
          <w:lang w:eastAsia="cs-CZ"/>
        </w:rPr>
        <w:t>rizik</w:t>
      </w:r>
      <w:r>
        <w:rPr>
          <w:rFonts w:eastAsiaTheme="minorEastAsia"/>
          <w:szCs w:val="40"/>
          <w:lang w:eastAsia="cs-CZ"/>
        </w:rPr>
        <w:t xml:space="preserve"> není vyloučeno, avšak v porovnání s ostatními druhy derivátů s sebou </w:t>
      </w:r>
      <w:r w:rsidR="00BC0E8B">
        <w:rPr>
          <w:rFonts w:eastAsiaTheme="minorEastAsia"/>
          <w:szCs w:val="40"/>
          <w:lang w:eastAsia="cs-CZ"/>
        </w:rPr>
        <w:t>nesou problémy spojené se standardizací obchodů.</w:t>
      </w:r>
      <w:r w:rsidR="00BC0E8B" w:rsidRPr="00BC0E8B">
        <w:rPr>
          <w:rFonts w:eastAsiaTheme="minorEastAsia"/>
          <w:szCs w:val="40"/>
          <w:lang w:eastAsia="cs-CZ"/>
        </w:rPr>
        <w:t xml:space="preserve"> </w:t>
      </w:r>
      <w:r w:rsidR="00BC0E8B">
        <w:rPr>
          <w:rFonts w:eastAsiaTheme="minorEastAsia"/>
          <w:szCs w:val="40"/>
          <w:lang w:eastAsia="cs-CZ"/>
        </w:rPr>
        <w:t xml:space="preserve">Futures </w:t>
      </w:r>
      <w:r w:rsidR="00BC0E8B">
        <w:rPr>
          <w:rFonts w:eastAsiaTheme="minorEastAsia"/>
          <w:szCs w:val="40"/>
          <w:lang w:eastAsia="cs-CZ"/>
        </w:rPr>
        <w:lastRenderedPageBreak/>
        <w:t>kontrakty díky tomu prakticky nikdy nebudou odpovídat všem specifickým požadavkům zajišťovatele.</w:t>
      </w:r>
      <w:r w:rsidR="001801A1">
        <w:rPr>
          <w:rFonts w:eastAsiaTheme="minorEastAsia"/>
          <w:szCs w:val="40"/>
          <w:lang w:eastAsia="cs-CZ"/>
        </w:rPr>
        <w:t xml:space="preserve"> Na druhou stanu s sebou obchodování s futures kontrakty přináší eliminaci úvěrového rizika</w:t>
      </w:r>
      <w:r w:rsidR="00146903">
        <w:rPr>
          <w:rFonts w:eastAsiaTheme="minorEastAsia"/>
          <w:szCs w:val="40"/>
          <w:lang w:eastAsia="cs-CZ"/>
        </w:rPr>
        <w:t xml:space="preserve"> a vysokou likviditu</w:t>
      </w:r>
      <w:r w:rsidR="001801A1">
        <w:rPr>
          <w:rFonts w:eastAsiaTheme="minorEastAsia"/>
          <w:szCs w:val="40"/>
          <w:lang w:eastAsia="cs-CZ"/>
        </w:rPr>
        <w:t xml:space="preserve">. </w:t>
      </w:r>
      <w:r w:rsidR="00F000E4">
        <w:rPr>
          <w:rFonts w:eastAsiaTheme="minorEastAsia"/>
          <w:szCs w:val="40"/>
          <w:lang w:eastAsia="cs-CZ"/>
        </w:rPr>
        <w:t xml:space="preserve">Je tedy opět volbou investora, zda preferuje </w:t>
      </w:r>
      <w:r w:rsidR="00146903">
        <w:rPr>
          <w:rFonts w:eastAsiaTheme="minorEastAsia"/>
          <w:szCs w:val="40"/>
          <w:lang w:eastAsia="cs-CZ"/>
        </w:rPr>
        <w:t>odstranění</w:t>
      </w:r>
      <w:r w:rsidR="00F000E4">
        <w:rPr>
          <w:rFonts w:eastAsiaTheme="minorEastAsia"/>
          <w:szCs w:val="40"/>
          <w:lang w:eastAsia="cs-CZ"/>
        </w:rPr>
        <w:t xml:space="preserve"> úvěrového rizika či nikoli.</w:t>
      </w:r>
    </w:p>
    <w:p w:rsidR="00BC0E8B" w:rsidRDefault="00BC0E8B" w:rsidP="00F51FEA">
      <w:pPr>
        <w:spacing w:after="240" w:line="276" w:lineRule="auto"/>
        <w:jc w:val="both"/>
        <w:rPr>
          <w:rFonts w:eastAsiaTheme="minorEastAsia"/>
          <w:szCs w:val="40"/>
          <w:lang w:eastAsia="cs-CZ"/>
        </w:rPr>
      </w:pPr>
      <w:r>
        <w:rPr>
          <w:rFonts w:eastAsiaTheme="minorEastAsia"/>
          <w:szCs w:val="40"/>
          <w:lang w:eastAsia="cs-CZ"/>
        </w:rPr>
        <w:t>Stále existuje mnoho investorů, pro které jsou tyto instrumenty neznámé nebo se obchodování s</w:t>
      </w:r>
      <w:r w:rsidR="00607C69">
        <w:rPr>
          <w:rFonts w:eastAsiaTheme="minorEastAsia"/>
          <w:szCs w:val="40"/>
          <w:lang w:eastAsia="cs-CZ"/>
        </w:rPr>
        <w:t xml:space="preserve"> deriváty vyhýbají </w:t>
      </w:r>
      <w:r>
        <w:rPr>
          <w:rFonts w:eastAsiaTheme="minorEastAsia"/>
          <w:szCs w:val="40"/>
          <w:lang w:eastAsia="cs-CZ"/>
        </w:rPr>
        <w:t>kvůli jejich komplikované struktuře.</w:t>
      </w:r>
      <w:r w:rsidR="00607C69">
        <w:rPr>
          <w:rFonts w:eastAsiaTheme="minorEastAsia"/>
          <w:szCs w:val="40"/>
          <w:lang w:eastAsia="cs-CZ"/>
        </w:rPr>
        <w:t xml:space="preserve"> Přesto lze konstatovat, že</w:t>
      </w:r>
      <w:r w:rsidR="009B5A52">
        <w:rPr>
          <w:rFonts w:eastAsiaTheme="minorEastAsia"/>
          <w:szCs w:val="40"/>
          <w:lang w:eastAsia="cs-CZ"/>
        </w:rPr>
        <w:t xml:space="preserve"> pokud je</w:t>
      </w:r>
      <w:r w:rsidR="00F000E4">
        <w:rPr>
          <w:rFonts w:eastAsiaTheme="minorEastAsia"/>
          <w:szCs w:val="40"/>
          <w:lang w:eastAsia="cs-CZ"/>
        </w:rPr>
        <w:t> </w:t>
      </w:r>
      <w:r w:rsidR="00607C69">
        <w:rPr>
          <w:rFonts w:eastAsiaTheme="minorEastAsia"/>
          <w:szCs w:val="40"/>
          <w:lang w:eastAsia="cs-CZ"/>
        </w:rPr>
        <w:t xml:space="preserve">jejich </w:t>
      </w:r>
      <w:r w:rsidR="009B5A52">
        <w:rPr>
          <w:rFonts w:eastAsiaTheme="minorEastAsia"/>
          <w:szCs w:val="40"/>
          <w:lang w:eastAsia="cs-CZ"/>
        </w:rPr>
        <w:t xml:space="preserve">problematika správně pochopena a aplikována, mají derivátové </w:t>
      </w:r>
      <w:r w:rsidR="00607C69">
        <w:rPr>
          <w:rFonts w:eastAsiaTheme="minorEastAsia"/>
          <w:szCs w:val="40"/>
          <w:lang w:eastAsia="cs-CZ"/>
        </w:rPr>
        <w:t xml:space="preserve">instrumenty vysoký potenciál. Proto lze v </w:t>
      </w:r>
      <w:r w:rsidR="009B5A52">
        <w:rPr>
          <w:rFonts w:eastAsiaTheme="minorEastAsia"/>
          <w:szCs w:val="40"/>
          <w:lang w:eastAsia="cs-CZ"/>
        </w:rPr>
        <w:t xml:space="preserve">budoucnu </w:t>
      </w:r>
      <w:r w:rsidR="00607C69">
        <w:rPr>
          <w:rFonts w:eastAsiaTheme="minorEastAsia"/>
          <w:szCs w:val="40"/>
          <w:lang w:eastAsia="cs-CZ"/>
        </w:rPr>
        <w:t xml:space="preserve">očekávat </w:t>
      </w:r>
      <w:r w:rsidR="00927E8F">
        <w:rPr>
          <w:rFonts w:eastAsiaTheme="minorEastAsia"/>
          <w:szCs w:val="40"/>
          <w:lang w:eastAsia="cs-CZ"/>
        </w:rPr>
        <w:t>další „</w:t>
      </w:r>
      <w:r w:rsidR="00927E8F" w:rsidRPr="00927E8F">
        <w:rPr>
          <w:rFonts w:eastAsiaTheme="minorEastAsia"/>
          <w:i/>
          <w:szCs w:val="40"/>
          <w:lang w:eastAsia="cs-CZ"/>
        </w:rPr>
        <w:t>boom</w:t>
      </w:r>
      <w:r w:rsidR="00927E8F">
        <w:rPr>
          <w:rFonts w:eastAsiaTheme="minorEastAsia"/>
          <w:szCs w:val="40"/>
          <w:lang w:eastAsia="cs-CZ"/>
        </w:rPr>
        <w:t>“ a</w:t>
      </w:r>
      <w:r w:rsidR="00607C69">
        <w:rPr>
          <w:rFonts w:eastAsiaTheme="minorEastAsia"/>
          <w:szCs w:val="40"/>
          <w:lang w:eastAsia="cs-CZ"/>
        </w:rPr>
        <w:t xml:space="preserve"> dynamický rozvoj</w:t>
      </w:r>
      <w:r w:rsidR="00927E8F">
        <w:rPr>
          <w:rFonts w:eastAsiaTheme="minorEastAsia"/>
          <w:szCs w:val="40"/>
          <w:lang w:eastAsia="cs-CZ"/>
        </w:rPr>
        <w:t xml:space="preserve"> tohoto odvětví, spojený především se vznikem nových druhů finančních derivátů</w:t>
      </w:r>
      <w:r w:rsidR="009B5A52">
        <w:rPr>
          <w:rFonts w:eastAsiaTheme="minorEastAsia"/>
          <w:szCs w:val="40"/>
          <w:lang w:eastAsia="cs-CZ"/>
        </w:rPr>
        <w:t>.</w:t>
      </w:r>
    </w:p>
    <w:p w:rsidR="00BB3920" w:rsidRDefault="00BB3920">
      <w:pPr>
        <w:suppressAutoHyphens w:val="0"/>
        <w:spacing w:after="200" w:line="276" w:lineRule="auto"/>
      </w:pPr>
      <w:r>
        <w:br w:type="page"/>
      </w:r>
    </w:p>
    <w:p w:rsidR="008122F3" w:rsidRDefault="00BB3920" w:rsidP="00F000E4">
      <w:pPr>
        <w:pStyle w:val="Nadpis1"/>
        <w:numPr>
          <w:ilvl w:val="0"/>
          <w:numId w:val="0"/>
        </w:numPr>
        <w:ind w:left="432" w:hanging="432"/>
      </w:pPr>
      <w:bookmarkStart w:id="106" w:name="_Toc354393081"/>
      <w:r>
        <w:lastRenderedPageBreak/>
        <w:t>SEZNAM POUŽITÝCH ZDROJŮ</w:t>
      </w:r>
      <w:bookmarkEnd w:id="106"/>
    </w:p>
    <w:p w:rsidR="00BB3920" w:rsidRDefault="00BB3920" w:rsidP="005D2AF4">
      <w:pPr>
        <w:spacing w:after="240" w:line="276" w:lineRule="auto"/>
        <w:jc w:val="both"/>
        <w:rPr>
          <w:b/>
        </w:rPr>
      </w:pPr>
    </w:p>
    <w:p w:rsidR="00BB3920" w:rsidRPr="001F7586" w:rsidRDefault="00BB3920" w:rsidP="005D2AF4">
      <w:pPr>
        <w:spacing w:after="240" w:line="276" w:lineRule="auto"/>
        <w:jc w:val="both"/>
        <w:rPr>
          <w:b/>
          <w:sz w:val="28"/>
        </w:rPr>
      </w:pPr>
      <w:r w:rsidRPr="001F7586">
        <w:rPr>
          <w:b/>
          <w:sz w:val="28"/>
        </w:rPr>
        <w:t>Monografie</w:t>
      </w:r>
    </w:p>
    <w:p w:rsidR="00067A52" w:rsidRPr="00067A52" w:rsidRDefault="00067A52" w:rsidP="005D2AF4">
      <w:pPr>
        <w:spacing w:after="240" w:line="276" w:lineRule="auto"/>
        <w:jc w:val="both"/>
      </w:pPr>
      <w:r w:rsidRPr="00067A52">
        <w:t xml:space="preserve">BLAHA, Zdenek Sid a Irena JINDŘICHOVSKÁ. </w:t>
      </w:r>
      <w:r w:rsidRPr="00067A52">
        <w:rPr>
          <w:i/>
          <w:iCs/>
        </w:rPr>
        <w:t>Opce, swapy, futures: deriváty finančního trhu</w:t>
      </w:r>
      <w:r w:rsidRPr="00067A52">
        <w:t>. 2. rozš. vyd. Praha: Management Press, 1997, 206 s. ISBN 8085943298.</w:t>
      </w:r>
    </w:p>
    <w:p w:rsidR="00067A52" w:rsidRPr="00067A52" w:rsidRDefault="00067A52" w:rsidP="00A0498C">
      <w:pPr>
        <w:spacing w:after="240" w:line="276" w:lineRule="auto"/>
        <w:jc w:val="both"/>
        <w:rPr>
          <w:lang w:eastAsia="cs-CZ"/>
        </w:rPr>
      </w:pPr>
      <w:r w:rsidRPr="00067A52">
        <w:rPr>
          <w:lang w:eastAsia="cs-CZ"/>
        </w:rPr>
        <w:t xml:space="preserve">BLAKE, David. </w:t>
      </w:r>
      <w:r w:rsidRPr="00067A52">
        <w:rPr>
          <w:i/>
          <w:iCs/>
          <w:lang w:eastAsia="cs-CZ"/>
        </w:rPr>
        <w:t>Analýza finančních trhů</w:t>
      </w:r>
      <w:r w:rsidRPr="00067A52">
        <w:rPr>
          <w:lang w:eastAsia="cs-CZ"/>
        </w:rPr>
        <w:t>. 1. vyd. Praha: Grada, 1995, 623 s. ISBN 8071692018.</w:t>
      </w:r>
    </w:p>
    <w:p w:rsidR="00067A52" w:rsidRPr="00067A52" w:rsidRDefault="00067A52" w:rsidP="00A0498C">
      <w:pPr>
        <w:spacing w:after="240" w:line="276" w:lineRule="auto"/>
        <w:jc w:val="both"/>
      </w:pPr>
      <w:r w:rsidRPr="00067A52">
        <w:t xml:space="preserve">DVOŘÁK, Petr. </w:t>
      </w:r>
      <w:r w:rsidRPr="00067A52">
        <w:rPr>
          <w:i/>
          <w:iCs/>
        </w:rPr>
        <w:t>Deriváty</w:t>
      </w:r>
      <w:r w:rsidRPr="00067A52">
        <w:t>. Vyd. 2., přeprac. V Praze: Oeconomica, 2008, 297 s. ISBN 9788024514352</w:t>
      </w:r>
    </w:p>
    <w:p w:rsidR="00067A52" w:rsidRPr="00067A52" w:rsidRDefault="00067A52" w:rsidP="00041F24">
      <w:pPr>
        <w:spacing w:after="240" w:line="276" w:lineRule="auto"/>
        <w:jc w:val="both"/>
        <w:rPr>
          <w:lang w:eastAsia="cs-CZ"/>
        </w:rPr>
      </w:pPr>
      <w:r w:rsidRPr="00067A52">
        <w:rPr>
          <w:lang w:eastAsia="cs-CZ"/>
        </w:rPr>
        <w:t xml:space="preserve">DVOŘÁK, Petr. </w:t>
      </w:r>
      <w:r w:rsidRPr="00067A52">
        <w:rPr>
          <w:i/>
          <w:iCs/>
          <w:lang w:eastAsia="cs-CZ"/>
        </w:rPr>
        <w:t>Přednášky z finančních derivátů</w:t>
      </w:r>
      <w:r w:rsidRPr="00067A52">
        <w:rPr>
          <w:lang w:eastAsia="cs-CZ"/>
        </w:rPr>
        <w:t>. Vyd. 1. V Praze: Vysoká škola ekonomická v Praze, 2000, 123 s. ISBN 8024501031.</w:t>
      </w:r>
    </w:p>
    <w:p w:rsidR="00041F24" w:rsidRPr="00041F24" w:rsidRDefault="00041F24" w:rsidP="00041F24">
      <w:pPr>
        <w:suppressAutoHyphens w:val="0"/>
        <w:spacing w:after="240" w:line="276" w:lineRule="auto"/>
        <w:jc w:val="both"/>
        <w:rPr>
          <w:lang w:eastAsia="cs-CZ"/>
        </w:rPr>
      </w:pPr>
      <w:r w:rsidRPr="00041F24">
        <w:rPr>
          <w:lang w:eastAsia="cs-CZ"/>
        </w:rPr>
        <w:t xml:space="preserve">HRDÝ, Milan a Jiří STROUHAL. </w:t>
      </w:r>
      <w:r w:rsidRPr="00041F24">
        <w:rPr>
          <w:i/>
          <w:iCs/>
          <w:lang w:eastAsia="cs-CZ"/>
        </w:rPr>
        <w:t>Finanční řízení</w:t>
      </w:r>
      <w:r w:rsidRPr="00041F24">
        <w:rPr>
          <w:lang w:eastAsia="cs-CZ"/>
        </w:rPr>
        <w:t xml:space="preserve">. 1. vyd. Praha: Wolters Kluwer Česká republika, 2010, 226 s. ISBN 9788073575809. </w:t>
      </w:r>
    </w:p>
    <w:p w:rsidR="00067A52" w:rsidRPr="00067A52" w:rsidRDefault="00067A52" w:rsidP="00041F24">
      <w:pPr>
        <w:spacing w:after="240" w:line="276" w:lineRule="auto"/>
        <w:jc w:val="both"/>
        <w:rPr>
          <w:lang w:eastAsia="cs-CZ"/>
        </w:rPr>
      </w:pPr>
      <w:r w:rsidRPr="00067A52">
        <w:rPr>
          <w:rFonts w:eastAsiaTheme="minorHAnsi"/>
          <w:lang w:eastAsia="en-US"/>
        </w:rPr>
        <w:t xml:space="preserve">HULL, J.C. </w:t>
      </w:r>
      <w:r w:rsidRPr="00067A52">
        <w:rPr>
          <w:rFonts w:eastAsiaTheme="minorHAnsi"/>
          <w:i/>
          <w:iCs/>
          <w:lang w:eastAsia="en-US"/>
        </w:rPr>
        <w:t xml:space="preserve">Options, Futures and Other Derivatives. </w:t>
      </w:r>
      <w:r w:rsidRPr="00067A52">
        <w:rPr>
          <w:rFonts w:eastAsiaTheme="minorHAnsi"/>
          <w:lang w:eastAsia="en-US"/>
        </w:rPr>
        <w:t>5. vyd. New Jersey: Prentice Hall, 2003. 744 s. ISBN 0-13-009056-5.</w:t>
      </w:r>
    </w:p>
    <w:p w:rsidR="00A966BE" w:rsidRPr="00A966BE" w:rsidRDefault="00A966BE" w:rsidP="00FE13C9">
      <w:pPr>
        <w:suppressAutoHyphens w:val="0"/>
        <w:spacing w:after="240" w:line="276" w:lineRule="auto"/>
        <w:jc w:val="both"/>
        <w:rPr>
          <w:lang w:eastAsia="cs-CZ"/>
        </w:rPr>
      </w:pPr>
      <w:r w:rsidRPr="00A966BE">
        <w:rPr>
          <w:lang w:eastAsia="cs-CZ"/>
        </w:rPr>
        <w:t xml:space="preserve">JÍLEK, Josef. </w:t>
      </w:r>
      <w:r w:rsidRPr="00A966BE">
        <w:rPr>
          <w:i/>
          <w:iCs/>
          <w:lang w:eastAsia="cs-CZ"/>
        </w:rPr>
        <w:t>Finanční a komoditní deriváty</w:t>
      </w:r>
      <w:r w:rsidRPr="00A966BE">
        <w:rPr>
          <w:lang w:eastAsia="cs-CZ"/>
        </w:rPr>
        <w:t xml:space="preserve">. 1. vyd. Praha: Grada, 2002, 624 s. ISBN 8024703424. </w:t>
      </w:r>
    </w:p>
    <w:p w:rsidR="00067A52" w:rsidRPr="00067A52" w:rsidRDefault="00067A52" w:rsidP="00FE13C9">
      <w:pPr>
        <w:spacing w:after="240" w:line="276" w:lineRule="auto"/>
        <w:jc w:val="both"/>
      </w:pPr>
      <w:r w:rsidRPr="00067A52">
        <w:t xml:space="preserve">JÍLEK, Josef. </w:t>
      </w:r>
      <w:r w:rsidRPr="00067A52">
        <w:rPr>
          <w:i/>
          <w:iCs/>
        </w:rPr>
        <w:t>Finanční a komoditní deriváty v praxi</w:t>
      </w:r>
      <w:r w:rsidRPr="00067A52">
        <w:t>. 2. uprav. vyd. Praha: Grada, 2010, 630 s. ISBN 9788024736969.</w:t>
      </w:r>
    </w:p>
    <w:p w:rsidR="00FE13C9" w:rsidRPr="00FE13C9" w:rsidRDefault="00FE13C9" w:rsidP="00FE13C9">
      <w:pPr>
        <w:suppressAutoHyphens w:val="0"/>
        <w:spacing w:after="240" w:line="276" w:lineRule="auto"/>
        <w:jc w:val="both"/>
        <w:rPr>
          <w:lang w:eastAsia="cs-CZ"/>
        </w:rPr>
      </w:pPr>
      <w:r w:rsidRPr="00FE13C9">
        <w:rPr>
          <w:lang w:eastAsia="cs-CZ"/>
        </w:rPr>
        <w:t xml:space="preserve">JÍLEK, Josef. </w:t>
      </w:r>
      <w:r w:rsidRPr="00FE13C9">
        <w:rPr>
          <w:i/>
          <w:iCs/>
          <w:lang w:eastAsia="cs-CZ"/>
        </w:rPr>
        <w:t>Finanční rizika</w:t>
      </w:r>
      <w:r w:rsidRPr="00FE13C9">
        <w:rPr>
          <w:lang w:eastAsia="cs-CZ"/>
        </w:rPr>
        <w:t xml:space="preserve">. 1. vyd. Praha: Grada, 2000, 635 s. ISBN 80-716-9579-3. </w:t>
      </w:r>
    </w:p>
    <w:p w:rsidR="00067A52" w:rsidRPr="00C91E5B" w:rsidRDefault="00067A52" w:rsidP="00FE13C9">
      <w:pPr>
        <w:spacing w:after="240" w:line="276" w:lineRule="auto"/>
        <w:jc w:val="both"/>
      </w:pPr>
      <w:r w:rsidRPr="00C91E5B">
        <w:t xml:space="preserve">JÍLEK, Josef. </w:t>
      </w:r>
      <w:r w:rsidRPr="00C91E5B">
        <w:rPr>
          <w:i/>
          <w:iCs/>
        </w:rPr>
        <w:t>Termínové a opční obchody</w:t>
      </w:r>
      <w:r w:rsidRPr="00C91E5B">
        <w:t>. Vyd. 1. Praha: Grada, 1995, 286 s. ISBN 8071691836.</w:t>
      </w:r>
    </w:p>
    <w:p w:rsidR="00C91E5B" w:rsidRPr="00C91E5B" w:rsidRDefault="00C91E5B" w:rsidP="004A42C4">
      <w:pPr>
        <w:spacing w:after="240" w:line="276" w:lineRule="auto"/>
        <w:jc w:val="both"/>
        <w:rPr>
          <w:lang w:eastAsia="cs-CZ"/>
        </w:rPr>
      </w:pPr>
      <w:r w:rsidRPr="00C91E5B">
        <w:rPr>
          <w:lang w:eastAsia="cs-CZ"/>
        </w:rPr>
        <w:t xml:space="preserve">KISLINGEROVÁ, Eva. </w:t>
      </w:r>
      <w:r w:rsidRPr="00C91E5B">
        <w:rPr>
          <w:i/>
          <w:iCs/>
          <w:lang w:eastAsia="cs-CZ"/>
        </w:rPr>
        <w:t>Manažerské finance</w:t>
      </w:r>
      <w:r w:rsidRPr="00C91E5B">
        <w:rPr>
          <w:lang w:eastAsia="cs-CZ"/>
        </w:rPr>
        <w:t>. 3. vyd. Praha: C.H. Beck, 2010, xxxviii, 811 s. ISBN 9788074001949.</w:t>
      </w:r>
    </w:p>
    <w:p w:rsidR="004A42C4" w:rsidRDefault="004A42C4" w:rsidP="004A42C4">
      <w:pPr>
        <w:suppressAutoHyphens w:val="0"/>
        <w:spacing w:after="240" w:line="276" w:lineRule="auto"/>
        <w:jc w:val="both"/>
        <w:rPr>
          <w:lang w:eastAsia="cs-CZ"/>
        </w:rPr>
      </w:pPr>
      <w:r w:rsidRPr="004A42C4">
        <w:rPr>
          <w:lang w:eastAsia="cs-CZ"/>
        </w:rPr>
        <w:t xml:space="preserve">KOHN, Meir. </w:t>
      </w:r>
      <w:r w:rsidRPr="004A42C4">
        <w:rPr>
          <w:i/>
          <w:iCs/>
          <w:lang w:eastAsia="cs-CZ"/>
        </w:rPr>
        <w:t>Financial institutions and markets</w:t>
      </w:r>
      <w:r w:rsidRPr="004A42C4">
        <w:rPr>
          <w:lang w:eastAsia="cs-CZ"/>
        </w:rPr>
        <w:t xml:space="preserve">. 2nd ed. New York: Oxford University Press, 2004, xxx, 674 s. ISBN 0195134729. </w:t>
      </w:r>
    </w:p>
    <w:p w:rsidR="00067A52" w:rsidRPr="00067A52" w:rsidRDefault="00067A52" w:rsidP="004A42C4">
      <w:pPr>
        <w:spacing w:after="240" w:line="276" w:lineRule="auto"/>
        <w:jc w:val="both"/>
        <w:rPr>
          <w:lang w:eastAsia="cs-CZ"/>
        </w:rPr>
      </w:pPr>
      <w:r w:rsidRPr="00C91E5B">
        <w:rPr>
          <w:lang w:eastAsia="cs-CZ"/>
        </w:rPr>
        <w:t xml:space="preserve">KOVÁŘÍK, Michal. </w:t>
      </w:r>
      <w:r w:rsidRPr="00C91E5B">
        <w:rPr>
          <w:i/>
          <w:iCs/>
          <w:lang w:eastAsia="cs-CZ"/>
        </w:rPr>
        <w:t>Využití finančních derivátů při zajišťování peněžních toků</w:t>
      </w:r>
      <w:r w:rsidRPr="00C91E5B">
        <w:rPr>
          <w:lang w:eastAsia="cs-CZ"/>
        </w:rPr>
        <w:t>. Vyd. 1. Bučovice</w:t>
      </w:r>
      <w:r w:rsidRPr="00067A52">
        <w:rPr>
          <w:lang w:eastAsia="cs-CZ"/>
        </w:rPr>
        <w:t>: Nakladatelství Martin Stříž, 2011, 143 s. ISBN 9788087106495.</w:t>
      </w:r>
    </w:p>
    <w:p w:rsidR="00A008CF" w:rsidRDefault="00A008CF" w:rsidP="00A008CF">
      <w:pPr>
        <w:suppressAutoHyphens w:val="0"/>
        <w:spacing w:after="240" w:line="276" w:lineRule="auto"/>
        <w:jc w:val="both"/>
        <w:rPr>
          <w:lang w:eastAsia="cs-CZ"/>
        </w:rPr>
      </w:pPr>
      <w:r w:rsidRPr="00A008CF">
        <w:rPr>
          <w:lang w:eastAsia="cs-CZ"/>
        </w:rPr>
        <w:t xml:space="preserve">MADURA, Jeff. </w:t>
      </w:r>
      <w:r w:rsidRPr="00A008CF">
        <w:rPr>
          <w:i/>
          <w:iCs/>
          <w:lang w:eastAsia="cs-CZ"/>
        </w:rPr>
        <w:t>International financial management</w:t>
      </w:r>
      <w:r w:rsidRPr="00A008CF">
        <w:rPr>
          <w:lang w:eastAsia="cs-CZ"/>
        </w:rPr>
        <w:t xml:space="preserve">. 3. ed. St. Paul: West, 1992, 29, 728 s. ISBN 0314862722. </w:t>
      </w:r>
    </w:p>
    <w:p w:rsidR="00B54D46" w:rsidRDefault="00B54D46" w:rsidP="00A008CF">
      <w:pPr>
        <w:suppressAutoHyphens w:val="0"/>
        <w:spacing w:after="240" w:line="276" w:lineRule="auto"/>
        <w:jc w:val="both"/>
        <w:rPr>
          <w:lang w:eastAsia="cs-CZ"/>
        </w:rPr>
      </w:pPr>
      <w:r w:rsidRPr="00B54D46">
        <w:rPr>
          <w:lang w:eastAsia="cs-CZ"/>
        </w:rPr>
        <w:lastRenderedPageBreak/>
        <w:t xml:space="preserve">MISHKIN, Frederic S a Stanley G EAKINS. </w:t>
      </w:r>
      <w:r w:rsidRPr="00B54D46">
        <w:rPr>
          <w:i/>
          <w:iCs/>
          <w:lang w:eastAsia="cs-CZ"/>
        </w:rPr>
        <w:t>Financial markets and institutions</w:t>
      </w:r>
      <w:r w:rsidRPr="00B54D46">
        <w:rPr>
          <w:lang w:eastAsia="cs-CZ"/>
        </w:rPr>
        <w:t xml:space="preserve">. 6th ed. Boston: Pearson Prentice Hall, c2009, xxxix, 675 s. ISBN 9780321374219. </w:t>
      </w:r>
    </w:p>
    <w:p w:rsidR="00067A52" w:rsidRPr="00067A52" w:rsidRDefault="00067A52" w:rsidP="00B54D46">
      <w:pPr>
        <w:spacing w:after="240" w:line="276" w:lineRule="auto"/>
        <w:jc w:val="both"/>
        <w:rPr>
          <w:lang w:eastAsia="cs-CZ"/>
        </w:rPr>
      </w:pPr>
      <w:r w:rsidRPr="00067A52">
        <w:rPr>
          <w:lang w:eastAsia="cs-CZ"/>
        </w:rPr>
        <w:t xml:space="preserve">MUSÍLEK, Petr. </w:t>
      </w:r>
      <w:r w:rsidRPr="00067A52">
        <w:rPr>
          <w:i/>
          <w:iCs/>
          <w:lang w:eastAsia="cs-CZ"/>
        </w:rPr>
        <w:t>Trhy cenných papírů</w:t>
      </w:r>
      <w:r w:rsidRPr="00067A52">
        <w:rPr>
          <w:lang w:eastAsia="cs-CZ"/>
        </w:rPr>
        <w:t>. 2., aktualiz a rozš. vyd. Praha: Ekopress, 2011, 520 s. ISBN 9788086929705.</w:t>
      </w:r>
    </w:p>
    <w:p w:rsidR="00067A52" w:rsidRDefault="00067A52" w:rsidP="00FE13C9">
      <w:pPr>
        <w:spacing w:after="240" w:line="276" w:lineRule="auto"/>
        <w:jc w:val="both"/>
      </w:pPr>
      <w:r w:rsidRPr="00067A52">
        <w:t xml:space="preserve">REJNUŠ, Oldřich. </w:t>
      </w:r>
      <w:r w:rsidRPr="00067A52">
        <w:rPr>
          <w:i/>
          <w:iCs/>
        </w:rPr>
        <w:t>Finanční trhy</w:t>
      </w:r>
      <w:r w:rsidRPr="00067A52">
        <w:t>. 3. rozš. vyd. Ostrava: Key Publishing, 2011, 689 s. ISBN 9788074181283.</w:t>
      </w:r>
    </w:p>
    <w:p w:rsidR="00B27844" w:rsidRPr="00067A52" w:rsidRDefault="00B27844" w:rsidP="00B27844">
      <w:pPr>
        <w:suppressAutoHyphens w:val="0"/>
        <w:spacing w:after="240" w:line="276" w:lineRule="auto"/>
        <w:jc w:val="both"/>
        <w:rPr>
          <w:lang w:eastAsia="cs-CZ"/>
        </w:rPr>
      </w:pPr>
      <w:r w:rsidRPr="00B27844">
        <w:rPr>
          <w:lang w:eastAsia="cs-CZ"/>
        </w:rPr>
        <w:t xml:space="preserve">SHARPE, William F a Gordon J ALEXANDER. </w:t>
      </w:r>
      <w:r w:rsidRPr="00B27844">
        <w:rPr>
          <w:i/>
          <w:iCs/>
          <w:lang w:eastAsia="cs-CZ"/>
        </w:rPr>
        <w:t>Investice</w:t>
      </w:r>
      <w:r w:rsidRPr="00B27844">
        <w:rPr>
          <w:lang w:eastAsia="cs-CZ"/>
        </w:rPr>
        <w:t xml:space="preserve">. 4. vyd. Praha: Victoria Publishing, 1994, 810 s. ISBN 8085605473. </w:t>
      </w:r>
    </w:p>
    <w:p w:rsidR="00067A52" w:rsidRDefault="00067A52" w:rsidP="00B27844">
      <w:pPr>
        <w:spacing w:after="240" w:line="276" w:lineRule="auto"/>
        <w:jc w:val="both"/>
      </w:pPr>
      <w:r w:rsidRPr="00067A52">
        <w:t xml:space="preserve">ŠTURC, Boris. </w:t>
      </w:r>
      <w:r w:rsidRPr="00067A52">
        <w:rPr>
          <w:i/>
          <w:iCs/>
        </w:rPr>
        <w:t>Deriváty finančních trhů</w:t>
      </w:r>
      <w:r w:rsidRPr="00067A52">
        <w:t>. Brno: Ma</w:t>
      </w:r>
      <w:r w:rsidR="00447807">
        <w:t>sarykova universita, Ekonomicko</w:t>
      </w:r>
      <w:r w:rsidRPr="00067A52">
        <w:t>-správní fakulta, 2002, 66 s.</w:t>
      </w:r>
    </w:p>
    <w:p w:rsidR="00526C59" w:rsidRDefault="00526C59" w:rsidP="0003782A">
      <w:pPr>
        <w:suppressAutoHyphens w:val="0"/>
        <w:spacing w:after="240" w:line="276" w:lineRule="auto"/>
        <w:jc w:val="both"/>
        <w:rPr>
          <w:lang w:eastAsia="cs-CZ"/>
        </w:rPr>
      </w:pPr>
      <w:r w:rsidRPr="00526C59">
        <w:rPr>
          <w:lang w:eastAsia="cs-CZ"/>
        </w:rPr>
        <w:t xml:space="preserve">VLACHÝ, Jan. </w:t>
      </w:r>
      <w:r w:rsidRPr="00526C59">
        <w:rPr>
          <w:i/>
          <w:iCs/>
          <w:lang w:eastAsia="cs-CZ"/>
        </w:rPr>
        <w:t>Řízení finančních rizik</w:t>
      </w:r>
      <w:r w:rsidRPr="00526C59">
        <w:rPr>
          <w:lang w:eastAsia="cs-CZ"/>
        </w:rPr>
        <w:t xml:space="preserve">. Praha: Vysoká škola finanční a správní, 2006, 256 s. ISBN 8086754561. </w:t>
      </w:r>
    </w:p>
    <w:p w:rsidR="0003782A" w:rsidRPr="0003782A" w:rsidRDefault="0003782A" w:rsidP="0003782A">
      <w:pPr>
        <w:suppressAutoHyphens w:val="0"/>
        <w:spacing w:after="240" w:line="276" w:lineRule="auto"/>
        <w:jc w:val="both"/>
        <w:rPr>
          <w:lang w:eastAsia="cs-CZ"/>
        </w:rPr>
      </w:pPr>
      <w:r w:rsidRPr="0003782A">
        <w:rPr>
          <w:lang w:eastAsia="cs-CZ"/>
        </w:rPr>
        <w:t xml:space="preserve">ZÁŠKODNÝ, Přemysl, Vladislav PAVLÁT a Josef BUDÍK. </w:t>
      </w:r>
      <w:r w:rsidRPr="0003782A">
        <w:rPr>
          <w:i/>
          <w:iCs/>
          <w:lang w:eastAsia="cs-CZ"/>
        </w:rPr>
        <w:t>Finanční deriváty a jejich oceňování</w:t>
      </w:r>
      <w:r w:rsidRPr="0003782A">
        <w:rPr>
          <w:lang w:eastAsia="cs-CZ"/>
        </w:rPr>
        <w:t xml:space="preserve">. 1. vyd. Praha: Vysoká škola finanční a správní, 2007, 161 s. ISBN 9788086754734. </w:t>
      </w:r>
    </w:p>
    <w:p w:rsidR="00357245" w:rsidRDefault="00357245" w:rsidP="00FE13C9">
      <w:pPr>
        <w:spacing w:after="240" w:line="276" w:lineRule="auto"/>
        <w:jc w:val="both"/>
      </w:pPr>
    </w:p>
    <w:p w:rsidR="003E35B7" w:rsidRPr="001F7586" w:rsidRDefault="003E35B7" w:rsidP="00FE13C9">
      <w:pPr>
        <w:spacing w:after="240" w:line="276" w:lineRule="auto"/>
        <w:jc w:val="both"/>
        <w:rPr>
          <w:b/>
          <w:sz w:val="28"/>
        </w:rPr>
      </w:pPr>
      <w:r w:rsidRPr="001F7586">
        <w:rPr>
          <w:b/>
          <w:sz w:val="28"/>
        </w:rPr>
        <w:t>Elektronické zdroje</w:t>
      </w:r>
    </w:p>
    <w:p w:rsidR="003E35B7" w:rsidRPr="00D57FD1" w:rsidRDefault="003E35B7" w:rsidP="00FE13C9">
      <w:pPr>
        <w:pStyle w:val="Textpoznpodarou"/>
        <w:spacing w:after="240" w:line="276" w:lineRule="auto"/>
        <w:jc w:val="both"/>
        <w:rPr>
          <w:rFonts w:ascii="Times New Roman" w:hAnsi="Times New Roman" w:cs="Times New Roman"/>
          <w:sz w:val="24"/>
          <w:szCs w:val="24"/>
        </w:rPr>
      </w:pPr>
      <w:r w:rsidRPr="00D57FD1">
        <w:rPr>
          <w:rFonts w:ascii="Times New Roman" w:hAnsi="Times New Roman" w:cs="Times New Roman"/>
          <w:sz w:val="24"/>
          <w:szCs w:val="24"/>
        </w:rPr>
        <w:t xml:space="preserve">KLEČKA, Ondřej. </w:t>
      </w:r>
      <w:r w:rsidR="00D57FD1">
        <w:rPr>
          <w:rFonts w:ascii="Times New Roman" w:hAnsi="Times New Roman" w:cs="Times New Roman"/>
          <w:i/>
          <w:sz w:val="24"/>
          <w:szCs w:val="24"/>
        </w:rPr>
        <w:t xml:space="preserve">Finanční deriváty: Kam spějí? </w:t>
      </w:r>
      <w:r w:rsidRPr="00D57FD1">
        <w:rPr>
          <w:rFonts w:ascii="Times New Roman" w:hAnsi="Times New Roman" w:cs="Times New Roman"/>
          <w:sz w:val="24"/>
          <w:szCs w:val="24"/>
        </w:rPr>
        <w:t xml:space="preserve">[online]. 2010 [cit. 2013-02-15]. Dostupné na WWW: </w:t>
      </w:r>
      <w:r w:rsidR="00D57FD1">
        <w:rPr>
          <w:rFonts w:ascii="Times New Roman" w:hAnsi="Times New Roman" w:cs="Times New Roman"/>
          <w:sz w:val="24"/>
          <w:szCs w:val="24"/>
        </w:rPr>
        <w:t>&lt;</w:t>
      </w:r>
      <w:r w:rsidRPr="00D57FD1">
        <w:rPr>
          <w:rFonts w:ascii="Times New Roman" w:hAnsi="Times New Roman" w:cs="Times New Roman"/>
          <w:sz w:val="24"/>
          <w:szCs w:val="24"/>
        </w:rPr>
        <w:t>http://www.investujeme.cz/financni-derivaty-kam-speji/</w:t>
      </w:r>
      <w:r w:rsidR="00D57FD1">
        <w:rPr>
          <w:rFonts w:ascii="Times New Roman" w:hAnsi="Times New Roman" w:cs="Times New Roman"/>
          <w:sz w:val="24"/>
          <w:szCs w:val="24"/>
        </w:rPr>
        <w:t>&gt;</w:t>
      </w:r>
    </w:p>
    <w:p w:rsidR="003E35B7" w:rsidRPr="00D57FD1" w:rsidRDefault="00FA7439" w:rsidP="00FE13C9">
      <w:pPr>
        <w:spacing w:after="240" w:line="276" w:lineRule="auto"/>
        <w:jc w:val="both"/>
        <w:rPr>
          <w:lang w:eastAsia="cs-CZ"/>
        </w:rPr>
      </w:pPr>
      <w:r>
        <w:rPr>
          <w:iCs/>
          <w:lang w:eastAsia="cs-CZ"/>
        </w:rPr>
        <w:t xml:space="preserve">BURZA CENNÝCH PAPÍRŮ PRAHA, a.s.: Ukončení obchodování s futures na BCPP. </w:t>
      </w:r>
      <w:r w:rsidR="003E35B7" w:rsidRPr="00D57FD1">
        <w:rPr>
          <w:i/>
          <w:iCs/>
          <w:lang w:eastAsia="cs-CZ"/>
        </w:rPr>
        <w:t>Burza cenných papírů Praha</w:t>
      </w:r>
      <w:r>
        <w:rPr>
          <w:i/>
          <w:iCs/>
          <w:lang w:eastAsia="cs-CZ"/>
        </w:rPr>
        <w:t>, a.s.</w:t>
      </w:r>
      <w:r w:rsidR="003E35B7" w:rsidRPr="00D57FD1">
        <w:rPr>
          <w:lang w:eastAsia="cs-CZ"/>
        </w:rPr>
        <w:t xml:space="preserve"> [online]. 2012 [cit. 2013-03-03]. Dostupné na WWW: </w:t>
      </w:r>
      <w:r w:rsidR="00D57FD1">
        <w:rPr>
          <w:lang w:eastAsia="cs-CZ"/>
        </w:rPr>
        <w:t>&lt;</w:t>
      </w:r>
      <w:r w:rsidR="003E35B7" w:rsidRPr="00D57FD1">
        <w:rPr>
          <w:lang w:eastAsia="cs-CZ"/>
        </w:rPr>
        <w:t xml:space="preserve">http://www.bcpp.cz/Novinky/Detail.aspx?ka=2695 </w:t>
      </w:r>
      <w:r w:rsidR="00D57FD1">
        <w:rPr>
          <w:lang w:eastAsia="cs-CZ"/>
        </w:rPr>
        <w:t>&gt;</w:t>
      </w:r>
    </w:p>
    <w:p w:rsidR="003E35B7" w:rsidRPr="00D57FD1" w:rsidRDefault="00FA7439" w:rsidP="00FE13C9">
      <w:pPr>
        <w:pStyle w:val="Textpoznpodarou"/>
        <w:spacing w:after="240" w:line="276" w:lineRule="auto"/>
        <w:jc w:val="both"/>
        <w:rPr>
          <w:rFonts w:ascii="Times New Roman" w:hAnsi="Times New Roman" w:cs="Times New Roman"/>
          <w:sz w:val="24"/>
          <w:szCs w:val="24"/>
        </w:rPr>
      </w:pPr>
      <w:r>
        <w:rPr>
          <w:rFonts w:ascii="Times New Roman" w:hAnsi="Times New Roman" w:cs="Times New Roman"/>
          <w:iCs/>
          <w:sz w:val="24"/>
          <w:szCs w:val="24"/>
        </w:rPr>
        <w:t>BANK FOR INTERNATIONAL SETTLEMENTS: BIS Quarterly Review, December 2012.</w:t>
      </w:r>
      <w:r w:rsidR="003E35B7" w:rsidRPr="00D57FD1">
        <w:rPr>
          <w:rFonts w:ascii="Times New Roman" w:hAnsi="Times New Roman" w:cs="Times New Roman"/>
          <w:i/>
          <w:iCs/>
          <w:sz w:val="24"/>
          <w:szCs w:val="24"/>
        </w:rPr>
        <w:t xml:space="preserve"> Bank for International Settlements</w:t>
      </w:r>
      <w:r w:rsidR="003E35B7" w:rsidRPr="00D57FD1">
        <w:rPr>
          <w:rFonts w:ascii="Times New Roman" w:hAnsi="Times New Roman" w:cs="Times New Roman"/>
          <w:sz w:val="24"/>
          <w:szCs w:val="24"/>
        </w:rPr>
        <w:t xml:space="preserve"> [online]. 2012 [cit. 2013-01-26]. Dostupné na WWW: </w:t>
      </w:r>
      <w:r w:rsidR="00D57FD1">
        <w:rPr>
          <w:rFonts w:ascii="Times New Roman" w:hAnsi="Times New Roman" w:cs="Times New Roman"/>
          <w:sz w:val="24"/>
          <w:szCs w:val="24"/>
        </w:rPr>
        <w:t>&lt;</w:t>
      </w:r>
      <w:r w:rsidR="003E35B7" w:rsidRPr="00D57FD1">
        <w:rPr>
          <w:rFonts w:ascii="Times New Roman" w:hAnsi="Times New Roman" w:cs="Times New Roman"/>
          <w:sz w:val="24"/>
          <w:szCs w:val="24"/>
        </w:rPr>
        <w:t>http://www.bis.org/publ/qtrpdf/r_qa1212.pdf</w:t>
      </w:r>
      <w:r w:rsidR="00D57FD1">
        <w:rPr>
          <w:rFonts w:ascii="Times New Roman" w:hAnsi="Times New Roman" w:cs="Times New Roman"/>
          <w:sz w:val="24"/>
          <w:szCs w:val="24"/>
        </w:rPr>
        <w:t>&gt;</w:t>
      </w:r>
    </w:p>
    <w:p w:rsidR="003E35B7" w:rsidRPr="00D57FD1" w:rsidRDefault="00F2162F" w:rsidP="00FE13C9">
      <w:pPr>
        <w:pStyle w:val="Textpoznpodarou"/>
        <w:spacing w:after="240" w:line="276" w:lineRule="auto"/>
        <w:jc w:val="both"/>
        <w:rPr>
          <w:rFonts w:ascii="Times New Roman" w:hAnsi="Times New Roman" w:cs="Times New Roman"/>
          <w:sz w:val="24"/>
          <w:szCs w:val="24"/>
        </w:rPr>
      </w:pPr>
      <w:r w:rsidRPr="00F2162F">
        <w:rPr>
          <w:rFonts w:ascii="Times New Roman" w:hAnsi="Times New Roman" w:cs="Times New Roman"/>
          <w:iCs/>
          <w:sz w:val="24"/>
          <w:szCs w:val="24"/>
        </w:rPr>
        <w:t>KOMERČNÍ BANKA: Měnový swap</w:t>
      </w:r>
      <w:r>
        <w:rPr>
          <w:rFonts w:ascii="Times New Roman" w:hAnsi="Times New Roman" w:cs="Times New Roman"/>
          <w:i/>
          <w:iCs/>
          <w:sz w:val="24"/>
          <w:szCs w:val="24"/>
        </w:rPr>
        <w:t xml:space="preserve">. </w:t>
      </w:r>
      <w:r w:rsidR="003E35B7" w:rsidRPr="00D57FD1">
        <w:rPr>
          <w:rFonts w:ascii="Times New Roman" w:hAnsi="Times New Roman" w:cs="Times New Roman"/>
          <w:i/>
          <w:iCs/>
          <w:sz w:val="24"/>
          <w:szCs w:val="24"/>
        </w:rPr>
        <w:t>Komerční banka</w:t>
      </w:r>
      <w:r w:rsidR="003E35B7" w:rsidRPr="00D57FD1">
        <w:rPr>
          <w:rFonts w:ascii="Times New Roman" w:hAnsi="Times New Roman" w:cs="Times New Roman"/>
          <w:sz w:val="24"/>
          <w:szCs w:val="24"/>
        </w:rPr>
        <w:t xml:space="preserve"> [online]. [cit. 2013-04-04]. Dostupné </w:t>
      </w:r>
      <w:r w:rsidR="00B27844">
        <w:rPr>
          <w:rFonts w:ascii="Times New Roman" w:hAnsi="Times New Roman" w:cs="Times New Roman"/>
          <w:sz w:val="24"/>
          <w:szCs w:val="24"/>
        </w:rPr>
        <w:t>na</w:t>
      </w:r>
      <w:r w:rsidR="003E35B7" w:rsidRPr="00D57FD1">
        <w:rPr>
          <w:rFonts w:ascii="Times New Roman" w:hAnsi="Times New Roman" w:cs="Times New Roman"/>
          <w:sz w:val="24"/>
          <w:szCs w:val="24"/>
        </w:rPr>
        <w:t xml:space="preserve"> WWW: </w:t>
      </w:r>
      <w:r w:rsidR="00D57FD1">
        <w:rPr>
          <w:rFonts w:ascii="Times New Roman" w:hAnsi="Times New Roman" w:cs="Times New Roman"/>
          <w:sz w:val="24"/>
          <w:szCs w:val="24"/>
        </w:rPr>
        <w:t>&lt;</w:t>
      </w:r>
      <w:r w:rsidR="00D57FD1" w:rsidRPr="00D57FD1">
        <w:rPr>
          <w:rFonts w:ascii="Times New Roman" w:hAnsi="Times New Roman" w:cs="Times New Roman"/>
          <w:sz w:val="24"/>
          <w:szCs w:val="24"/>
        </w:rPr>
        <w:t>http://www.kb.cz/cs/verejna-sprava/zajisteni/menovy-swap.shtml</w:t>
      </w:r>
      <w:r w:rsidR="00D57FD1">
        <w:rPr>
          <w:rFonts w:ascii="Times New Roman" w:hAnsi="Times New Roman" w:cs="Times New Roman"/>
          <w:sz w:val="24"/>
          <w:szCs w:val="24"/>
        </w:rPr>
        <w:t>&gt;</w:t>
      </w:r>
    </w:p>
    <w:p w:rsidR="00D57FD1" w:rsidRPr="00D57FD1" w:rsidRDefault="00F2162F" w:rsidP="00FE13C9">
      <w:pPr>
        <w:spacing w:after="240" w:line="276" w:lineRule="auto"/>
        <w:jc w:val="both"/>
        <w:rPr>
          <w:i/>
        </w:rPr>
      </w:pPr>
      <w:r w:rsidRPr="00F2162F">
        <w:rPr>
          <w:iCs/>
        </w:rPr>
        <w:t xml:space="preserve">KOMERČNÍ BANKA: </w:t>
      </w:r>
      <w:r>
        <w:rPr>
          <w:iCs/>
        </w:rPr>
        <w:t xml:space="preserve">Forward rate agreement. </w:t>
      </w:r>
      <w:r w:rsidR="00D57FD1" w:rsidRPr="00D57FD1">
        <w:rPr>
          <w:i/>
          <w:iCs/>
        </w:rPr>
        <w:t>Komerční banka</w:t>
      </w:r>
      <w:r w:rsidR="00D57FD1" w:rsidRPr="00D57FD1">
        <w:t xml:space="preserve"> [online]. [cit. 2013-04-04]. Dostupné na WWW: &lt;</w:t>
      </w:r>
      <w:r w:rsidR="00D57FD1" w:rsidRPr="00D57FD1">
        <w:rPr>
          <w:i/>
        </w:rPr>
        <w:t>http://www.kb.cz/cs/verejna-sprava/zajisteni/forward-rate-agreement.shtml&gt;</w:t>
      </w:r>
    </w:p>
    <w:p w:rsidR="00D57FD1" w:rsidRPr="00D57FD1" w:rsidRDefault="00F2162F" w:rsidP="00FE13C9">
      <w:pPr>
        <w:spacing w:after="240" w:line="276" w:lineRule="auto"/>
        <w:jc w:val="both"/>
        <w:rPr>
          <w:i/>
        </w:rPr>
      </w:pPr>
      <w:r w:rsidRPr="00F2162F">
        <w:rPr>
          <w:iCs/>
        </w:rPr>
        <w:t xml:space="preserve">KOMERČNÍ BANKA: </w:t>
      </w:r>
      <w:r>
        <w:rPr>
          <w:iCs/>
        </w:rPr>
        <w:t xml:space="preserve">Úroková opce. </w:t>
      </w:r>
      <w:r w:rsidR="00D57FD1" w:rsidRPr="00D57FD1">
        <w:rPr>
          <w:i/>
          <w:iCs/>
        </w:rPr>
        <w:t>Komerční banka</w:t>
      </w:r>
      <w:r w:rsidR="00D57FD1" w:rsidRPr="00D57FD1">
        <w:t xml:space="preserve"> [online]. [cit. 2013-04-04]. Dostupné na WWW:</w:t>
      </w:r>
      <w:r w:rsidR="00D57FD1" w:rsidRPr="00D57FD1">
        <w:rPr>
          <w:i/>
        </w:rPr>
        <w:t xml:space="preserve"> &lt;http://www.kb.cz/cs/verejna-sprava/urokova-opce.shtml&gt;</w:t>
      </w:r>
    </w:p>
    <w:p w:rsidR="003E35B7" w:rsidRPr="00D57FD1" w:rsidRDefault="00FA7439" w:rsidP="00FE13C9">
      <w:pPr>
        <w:pStyle w:val="Textpoznpodarou"/>
        <w:spacing w:after="240" w:line="276" w:lineRule="auto"/>
        <w:jc w:val="both"/>
        <w:rPr>
          <w:rFonts w:ascii="Times New Roman" w:hAnsi="Times New Roman" w:cs="Times New Roman"/>
          <w:sz w:val="24"/>
          <w:szCs w:val="24"/>
        </w:rPr>
      </w:pPr>
      <w:r w:rsidRPr="00FA7439">
        <w:rPr>
          <w:rFonts w:ascii="Times New Roman" w:hAnsi="Times New Roman" w:cs="Times New Roman"/>
          <w:iCs/>
          <w:sz w:val="24"/>
          <w:szCs w:val="24"/>
        </w:rPr>
        <w:lastRenderedPageBreak/>
        <w:t>ČESKÁ NÁRODNÍ BANKA:</w:t>
      </w:r>
      <w:r>
        <w:rPr>
          <w:rFonts w:ascii="Times New Roman" w:hAnsi="Times New Roman" w:cs="Times New Roman"/>
          <w:iCs/>
          <w:sz w:val="24"/>
          <w:szCs w:val="24"/>
        </w:rPr>
        <w:t xml:space="preserve"> Forwardové kurzy koruny k EUR a USD zveřejňované ČNB. </w:t>
      </w:r>
      <w:r>
        <w:rPr>
          <w:rFonts w:ascii="Times New Roman" w:hAnsi="Times New Roman" w:cs="Times New Roman"/>
          <w:i/>
          <w:iCs/>
          <w:sz w:val="24"/>
          <w:szCs w:val="24"/>
        </w:rPr>
        <w:t xml:space="preserve">  </w:t>
      </w:r>
      <w:r w:rsidR="003E35B7" w:rsidRPr="00D57FD1">
        <w:rPr>
          <w:rFonts w:ascii="Times New Roman" w:hAnsi="Times New Roman" w:cs="Times New Roman"/>
          <w:i/>
          <w:iCs/>
          <w:sz w:val="24"/>
          <w:szCs w:val="24"/>
        </w:rPr>
        <w:t>Česká národní banka</w:t>
      </w:r>
      <w:r w:rsidR="003E35B7" w:rsidRPr="00D57FD1">
        <w:rPr>
          <w:rFonts w:ascii="Times New Roman" w:hAnsi="Times New Roman" w:cs="Times New Roman"/>
          <w:sz w:val="24"/>
          <w:szCs w:val="24"/>
        </w:rPr>
        <w:t xml:space="preserve"> [online]. [cit. 2013-03-04]. Dostupné na WWW: </w:t>
      </w:r>
      <w:r w:rsidR="00D57FD1">
        <w:rPr>
          <w:rFonts w:ascii="Times New Roman" w:hAnsi="Times New Roman" w:cs="Times New Roman"/>
          <w:sz w:val="24"/>
          <w:szCs w:val="24"/>
        </w:rPr>
        <w:t>&lt;</w:t>
      </w:r>
      <w:r w:rsidR="003E35B7" w:rsidRPr="00D57FD1">
        <w:rPr>
          <w:rFonts w:ascii="Times New Roman" w:hAnsi="Times New Roman" w:cs="Times New Roman"/>
          <w:sz w:val="24"/>
          <w:szCs w:val="24"/>
        </w:rPr>
        <w:t>http://www.cnb.cz/cs/faq/forwardove_kurzy_koruny.html</w:t>
      </w:r>
      <w:r w:rsidR="00D57FD1">
        <w:rPr>
          <w:rFonts w:ascii="Times New Roman" w:hAnsi="Times New Roman" w:cs="Times New Roman"/>
          <w:sz w:val="24"/>
          <w:szCs w:val="24"/>
        </w:rPr>
        <w:t>&gt;</w:t>
      </w:r>
    </w:p>
    <w:p w:rsidR="003E35B7" w:rsidRPr="00D57FD1" w:rsidRDefault="00FA7439" w:rsidP="00FE13C9">
      <w:pPr>
        <w:pStyle w:val="Textpoznpodarou"/>
        <w:spacing w:after="240" w:line="276" w:lineRule="auto"/>
        <w:jc w:val="both"/>
        <w:rPr>
          <w:rFonts w:ascii="Times New Roman" w:hAnsi="Times New Roman" w:cs="Times New Roman"/>
          <w:sz w:val="24"/>
          <w:szCs w:val="24"/>
        </w:rPr>
      </w:pPr>
      <w:r>
        <w:rPr>
          <w:rFonts w:ascii="Times New Roman" w:hAnsi="Times New Roman" w:cs="Times New Roman"/>
          <w:iCs/>
          <w:sz w:val="24"/>
          <w:szCs w:val="24"/>
        </w:rPr>
        <w:t xml:space="preserve">BLOOMBERG: Market Data. </w:t>
      </w:r>
      <w:r w:rsidR="003E35B7" w:rsidRPr="00D57FD1">
        <w:rPr>
          <w:rFonts w:ascii="Times New Roman" w:hAnsi="Times New Roman" w:cs="Times New Roman"/>
          <w:i/>
          <w:iCs/>
          <w:sz w:val="24"/>
          <w:szCs w:val="24"/>
        </w:rPr>
        <w:t>Bloomberg</w:t>
      </w:r>
      <w:r w:rsidR="003E35B7" w:rsidRPr="00D57FD1">
        <w:rPr>
          <w:rFonts w:ascii="Times New Roman" w:hAnsi="Times New Roman" w:cs="Times New Roman"/>
          <w:sz w:val="24"/>
          <w:szCs w:val="24"/>
        </w:rPr>
        <w:t xml:space="preserve"> [online</w:t>
      </w:r>
      <w:r w:rsidR="00B27844">
        <w:rPr>
          <w:rFonts w:ascii="Times New Roman" w:hAnsi="Times New Roman" w:cs="Times New Roman"/>
          <w:sz w:val="24"/>
          <w:szCs w:val="24"/>
        </w:rPr>
        <w:t>]. [cit. 2013-04-07]. Dostupné na</w:t>
      </w:r>
      <w:r w:rsidR="003E35B7" w:rsidRPr="00D57FD1">
        <w:rPr>
          <w:rFonts w:ascii="Times New Roman" w:hAnsi="Times New Roman" w:cs="Times New Roman"/>
          <w:sz w:val="24"/>
          <w:szCs w:val="24"/>
        </w:rPr>
        <w:t xml:space="preserve"> WWW: &lt;http://www.bloomberg.com/quote/US0006:IND&gt;.</w:t>
      </w:r>
    </w:p>
    <w:p w:rsidR="003E35B7" w:rsidRPr="00D57FD1" w:rsidRDefault="00042B21" w:rsidP="00FE13C9">
      <w:pPr>
        <w:pStyle w:val="Textpoznpodarou"/>
        <w:spacing w:after="240" w:line="276" w:lineRule="auto"/>
        <w:jc w:val="both"/>
        <w:rPr>
          <w:rFonts w:ascii="Times New Roman" w:hAnsi="Times New Roman" w:cs="Times New Roman"/>
          <w:sz w:val="24"/>
          <w:szCs w:val="24"/>
        </w:rPr>
      </w:pPr>
      <w:r>
        <w:rPr>
          <w:rFonts w:ascii="Times New Roman" w:hAnsi="Times New Roman" w:cs="Times New Roman"/>
          <w:iCs/>
          <w:sz w:val="24"/>
          <w:szCs w:val="24"/>
        </w:rPr>
        <w:t xml:space="preserve">NYSE EURONEXT: Euro/US Dollar Futures Specification. </w:t>
      </w:r>
      <w:r w:rsidR="003E35B7" w:rsidRPr="00D57FD1">
        <w:rPr>
          <w:rFonts w:ascii="Times New Roman" w:hAnsi="Times New Roman" w:cs="Times New Roman"/>
          <w:i/>
          <w:iCs/>
          <w:sz w:val="24"/>
          <w:szCs w:val="24"/>
        </w:rPr>
        <w:t>NYSE Euronext</w:t>
      </w:r>
      <w:r w:rsidR="003E35B7" w:rsidRPr="00D57FD1">
        <w:rPr>
          <w:rFonts w:ascii="Times New Roman" w:hAnsi="Times New Roman" w:cs="Times New Roman"/>
          <w:sz w:val="24"/>
          <w:szCs w:val="24"/>
        </w:rPr>
        <w:t xml:space="preserve"> [online</w:t>
      </w:r>
      <w:r w:rsidR="00B27844">
        <w:rPr>
          <w:rFonts w:ascii="Times New Roman" w:hAnsi="Times New Roman" w:cs="Times New Roman"/>
          <w:sz w:val="24"/>
          <w:szCs w:val="24"/>
        </w:rPr>
        <w:t>]. [cit. 2013-03-16]. Dostupné na</w:t>
      </w:r>
      <w:r w:rsidR="003E35B7" w:rsidRPr="00D57FD1">
        <w:rPr>
          <w:rFonts w:ascii="Times New Roman" w:hAnsi="Times New Roman" w:cs="Times New Roman"/>
          <w:sz w:val="24"/>
          <w:szCs w:val="24"/>
        </w:rPr>
        <w:t xml:space="preserve"> WWW: </w:t>
      </w:r>
      <w:r w:rsidR="00D57FD1">
        <w:rPr>
          <w:rFonts w:ascii="Times New Roman" w:hAnsi="Times New Roman" w:cs="Times New Roman"/>
          <w:sz w:val="24"/>
          <w:szCs w:val="24"/>
        </w:rPr>
        <w:t>&lt;</w:t>
      </w:r>
      <w:r w:rsidR="003E35B7" w:rsidRPr="00D57FD1">
        <w:rPr>
          <w:rFonts w:ascii="Times New Roman" w:hAnsi="Times New Roman" w:cs="Times New Roman"/>
          <w:sz w:val="24"/>
          <w:szCs w:val="24"/>
        </w:rPr>
        <w:t>https://globalderivatives.nyx.com/en/products/index-futures/FED-DAMS/contract-specification</w:t>
      </w:r>
      <w:r w:rsidR="00D57FD1">
        <w:rPr>
          <w:rFonts w:ascii="Times New Roman" w:hAnsi="Times New Roman" w:cs="Times New Roman"/>
          <w:sz w:val="24"/>
          <w:szCs w:val="24"/>
        </w:rPr>
        <w:t>&gt;</w:t>
      </w:r>
    </w:p>
    <w:p w:rsidR="003E35B7" w:rsidRPr="00042B21" w:rsidRDefault="00042B21" w:rsidP="00FE13C9">
      <w:pPr>
        <w:pStyle w:val="Textpoznpodarou"/>
        <w:spacing w:after="240" w:line="276" w:lineRule="auto"/>
        <w:jc w:val="both"/>
        <w:rPr>
          <w:rFonts w:ascii="Times New Roman" w:hAnsi="Times New Roman" w:cs="Times New Roman"/>
          <w:sz w:val="24"/>
          <w:szCs w:val="24"/>
        </w:rPr>
      </w:pPr>
      <w:r w:rsidRPr="00042B21">
        <w:rPr>
          <w:rFonts w:ascii="Times New Roman" w:hAnsi="Times New Roman" w:cs="Times New Roman"/>
          <w:sz w:val="24"/>
          <w:szCs w:val="24"/>
        </w:rPr>
        <w:t xml:space="preserve">LHC. CLEARNET: </w:t>
      </w:r>
      <w:r w:rsidRPr="00042B21">
        <w:rPr>
          <w:rFonts w:ascii="Times New Roman" w:hAnsi="Times New Roman" w:cs="Times New Roman"/>
          <w:iCs/>
          <w:sz w:val="24"/>
          <w:szCs w:val="24"/>
        </w:rPr>
        <w:t>Margin Parameters Notice</w:t>
      </w:r>
      <w:r w:rsidRPr="00042B21">
        <w:rPr>
          <w:rFonts w:ascii="Times New Roman" w:hAnsi="Times New Roman" w:cs="Times New Roman"/>
          <w:sz w:val="24"/>
          <w:szCs w:val="24"/>
        </w:rPr>
        <w:t xml:space="preserve"> [online]. </w:t>
      </w:r>
      <w:r w:rsidRPr="00042B21">
        <w:rPr>
          <w:rFonts w:ascii="Times New Roman" w:hAnsi="Times New Roman" w:cs="Times New Roman"/>
          <w:i/>
          <w:sz w:val="24"/>
          <w:szCs w:val="24"/>
        </w:rPr>
        <w:t>LHC. CLEARNET</w:t>
      </w:r>
      <w:r w:rsidR="003E35B7" w:rsidRPr="00042B21">
        <w:rPr>
          <w:rFonts w:ascii="Times New Roman" w:hAnsi="Times New Roman" w:cs="Times New Roman"/>
          <w:sz w:val="24"/>
          <w:szCs w:val="24"/>
        </w:rPr>
        <w:t>, 2013 [cit. 2013-03</w:t>
      </w:r>
      <w:r w:rsidR="00D57FD1" w:rsidRPr="00042B21">
        <w:rPr>
          <w:rFonts w:ascii="Times New Roman" w:hAnsi="Times New Roman" w:cs="Times New Roman"/>
          <w:sz w:val="24"/>
          <w:szCs w:val="24"/>
        </w:rPr>
        <w:t xml:space="preserve">-28]. Dostupné </w:t>
      </w:r>
      <w:r w:rsidR="00B27844" w:rsidRPr="00042B21">
        <w:rPr>
          <w:rFonts w:ascii="Times New Roman" w:hAnsi="Times New Roman" w:cs="Times New Roman"/>
          <w:sz w:val="24"/>
          <w:szCs w:val="24"/>
        </w:rPr>
        <w:t>na</w:t>
      </w:r>
      <w:r w:rsidR="00D57FD1" w:rsidRPr="00042B21">
        <w:rPr>
          <w:rFonts w:ascii="Times New Roman" w:hAnsi="Times New Roman" w:cs="Times New Roman"/>
          <w:sz w:val="24"/>
          <w:szCs w:val="24"/>
        </w:rPr>
        <w:t xml:space="preserve"> WWW: &lt;</w:t>
      </w:r>
      <w:r w:rsidR="003E35B7" w:rsidRPr="00042B21">
        <w:rPr>
          <w:rFonts w:ascii="Times New Roman" w:hAnsi="Times New Roman" w:cs="Times New Roman"/>
          <w:sz w:val="24"/>
          <w:szCs w:val="24"/>
        </w:rPr>
        <w:t>http://www.lchclearnet.com/Images/Daily_Derivatives_parameters_20130328.GB_tcm6-63275.pdf&gt;</w:t>
      </w:r>
    </w:p>
    <w:p w:rsidR="003E35B7" w:rsidRDefault="004342F9" w:rsidP="00FE13C9">
      <w:pPr>
        <w:pStyle w:val="Textpoznpodarou"/>
        <w:spacing w:after="240" w:line="276" w:lineRule="auto"/>
        <w:jc w:val="both"/>
        <w:rPr>
          <w:rFonts w:ascii="Times New Roman" w:hAnsi="Times New Roman" w:cs="Times New Roman"/>
          <w:sz w:val="24"/>
          <w:szCs w:val="24"/>
        </w:rPr>
      </w:pPr>
      <w:r w:rsidRPr="004342F9">
        <w:rPr>
          <w:rFonts w:ascii="Times New Roman" w:hAnsi="Times New Roman" w:cs="Times New Roman"/>
          <w:sz w:val="24"/>
          <w:szCs w:val="24"/>
        </w:rPr>
        <w:t xml:space="preserve">STUPAVSKÝ, Michal. Začalo to obilím a zatím skončilo počasím. In: [online]. Penize.cz, 2007 [cit. 2013-04-16]. Dostupné </w:t>
      </w:r>
      <w:r>
        <w:rPr>
          <w:rFonts w:ascii="Times New Roman" w:hAnsi="Times New Roman" w:cs="Times New Roman"/>
          <w:sz w:val="24"/>
          <w:szCs w:val="24"/>
        </w:rPr>
        <w:t>na WWW</w:t>
      </w:r>
      <w:r w:rsidRPr="004342F9">
        <w:rPr>
          <w:rFonts w:ascii="Times New Roman" w:hAnsi="Times New Roman" w:cs="Times New Roman"/>
          <w:sz w:val="24"/>
          <w:szCs w:val="24"/>
        </w:rPr>
        <w:t xml:space="preserve">: </w:t>
      </w:r>
      <w:r>
        <w:rPr>
          <w:rFonts w:ascii="Times New Roman" w:hAnsi="Times New Roman" w:cs="Times New Roman"/>
          <w:sz w:val="24"/>
          <w:szCs w:val="24"/>
        </w:rPr>
        <w:t>&lt;http://www.penize.cz/investice/19026-zacalo-to-obilim-a-zatim-skoncilo-pocasim&gt;</w:t>
      </w:r>
    </w:p>
    <w:p w:rsidR="004342F9" w:rsidRPr="004342F9" w:rsidRDefault="004342F9" w:rsidP="00FE13C9">
      <w:pPr>
        <w:pStyle w:val="Textpoznpodarou"/>
        <w:spacing w:after="240" w:line="276" w:lineRule="auto"/>
        <w:jc w:val="both"/>
        <w:rPr>
          <w:rFonts w:ascii="Times New Roman" w:hAnsi="Times New Roman" w:cs="Times New Roman"/>
          <w:sz w:val="24"/>
          <w:szCs w:val="24"/>
        </w:rPr>
      </w:pPr>
    </w:p>
    <w:p w:rsidR="00EC4BC9" w:rsidRDefault="00EC4BC9">
      <w:pPr>
        <w:suppressAutoHyphens w:val="0"/>
        <w:spacing w:after="200" w:line="276" w:lineRule="auto"/>
        <w:rPr>
          <w:b/>
          <w:kern w:val="28"/>
          <w:sz w:val="40"/>
          <w:szCs w:val="20"/>
          <w:lang w:eastAsia="cs-CZ"/>
        </w:rPr>
      </w:pPr>
      <w:r>
        <w:br w:type="page"/>
      </w:r>
    </w:p>
    <w:p w:rsidR="00F51FEA" w:rsidRDefault="00F51FEA" w:rsidP="00F000E4">
      <w:pPr>
        <w:pStyle w:val="Nadpis1"/>
        <w:numPr>
          <w:ilvl w:val="0"/>
          <w:numId w:val="0"/>
        </w:numPr>
        <w:ind w:left="432" w:hanging="432"/>
      </w:pPr>
      <w:bookmarkStart w:id="107" w:name="_Toc354393082"/>
      <w:r>
        <w:lastRenderedPageBreak/>
        <w:t>SEZNAM OBRÁZKŮ</w:t>
      </w:r>
      <w:bookmarkEnd w:id="107"/>
    </w:p>
    <w:p w:rsidR="001F3E1C" w:rsidRDefault="00FA567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r>
        <w:fldChar w:fldCharType="begin"/>
      </w:r>
      <w:r w:rsidR="00F51FEA">
        <w:instrText xml:space="preserve"> TOC \h \z \c "Obr." </w:instrText>
      </w:r>
      <w:r>
        <w:fldChar w:fldCharType="separate"/>
      </w:r>
      <w:hyperlink w:anchor="_Toc354393007" w:history="1">
        <w:r w:rsidR="001F3E1C" w:rsidRPr="00821BE2">
          <w:rPr>
            <w:rStyle w:val="Hypertextovodkaz"/>
            <w:noProof/>
          </w:rPr>
          <w:t>Obr. 1: Příklad plnění FRA</w:t>
        </w:r>
        <w:r w:rsidR="001F3E1C">
          <w:rPr>
            <w:noProof/>
            <w:webHidden/>
          </w:rPr>
          <w:tab/>
        </w:r>
        <w:r w:rsidR="001F3E1C">
          <w:rPr>
            <w:noProof/>
            <w:webHidden/>
          </w:rPr>
          <w:fldChar w:fldCharType="begin"/>
        </w:r>
        <w:r w:rsidR="001F3E1C">
          <w:rPr>
            <w:noProof/>
            <w:webHidden/>
          </w:rPr>
          <w:instrText xml:space="preserve"> PAGEREF _Toc354393007 \h </w:instrText>
        </w:r>
        <w:r w:rsidR="001F3E1C">
          <w:rPr>
            <w:noProof/>
            <w:webHidden/>
          </w:rPr>
        </w:r>
        <w:r w:rsidR="001F3E1C">
          <w:rPr>
            <w:noProof/>
            <w:webHidden/>
          </w:rPr>
          <w:fldChar w:fldCharType="separate"/>
        </w:r>
        <w:r w:rsidR="00E477F4">
          <w:rPr>
            <w:noProof/>
            <w:webHidden/>
          </w:rPr>
          <w:t>24</w:t>
        </w:r>
        <w:r w:rsidR="001F3E1C">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08" w:history="1">
        <w:r w:rsidRPr="00821BE2">
          <w:rPr>
            <w:rStyle w:val="Hypertextovodkaz"/>
            <w:noProof/>
          </w:rPr>
          <w:t>Obr. 2: Kotace úrokových futures</w:t>
        </w:r>
        <w:r>
          <w:rPr>
            <w:noProof/>
            <w:webHidden/>
          </w:rPr>
          <w:tab/>
        </w:r>
        <w:r>
          <w:rPr>
            <w:noProof/>
            <w:webHidden/>
          </w:rPr>
          <w:fldChar w:fldCharType="begin"/>
        </w:r>
        <w:r>
          <w:rPr>
            <w:noProof/>
            <w:webHidden/>
          </w:rPr>
          <w:instrText xml:space="preserve"> PAGEREF _Toc354393008 \h </w:instrText>
        </w:r>
        <w:r>
          <w:rPr>
            <w:noProof/>
            <w:webHidden/>
          </w:rPr>
        </w:r>
        <w:r>
          <w:rPr>
            <w:noProof/>
            <w:webHidden/>
          </w:rPr>
          <w:fldChar w:fldCharType="separate"/>
        </w:r>
        <w:r w:rsidR="00E477F4">
          <w:rPr>
            <w:noProof/>
            <w:webHidden/>
          </w:rPr>
          <w:t>33</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09" w:history="1">
        <w:r w:rsidRPr="00821BE2">
          <w:rPr>
            <w:rStyle w:val="Hypertextovodkaz"/>
            <w:noProof/>
          </w:rPr>
          <w:t>Obr. 3: Schéma klasického úrokového swapu</w:t>
        </w:r>
        <w:r>
          <w:rPr>
            <w:noProof/>
            <w:webHidden/>
          </w:rPr>
          <w:tab/>
        </w:r>
        <w:r>
          <w:rPr>
            <w:noProof/>
            <w:webHidden/>
          </w:rPr>
          <w:fldChar w:fldCharType="begin"/>
        </w:r>
        <w:r>
          <w:rPr>
            <w:noProof/>
            <w:webHidden/>
          </w:rPr>
          <w:instrText xml:space="preserve"> PAGEREF _Toc354393009 \h </w:instrText>
        </w:r>
        <w:r>
          <w:rPr>
            <w:noProof/>
            <w:webHidden/>
          </w:rPr>
        </w:r>
        <w:r>
          <w:rPr>
            <w:noProof/>
            <w:webHidden/>
          </w:rPr>
          <w:fldChar w:fldCharType="separate"/>
        </w:r>
        <w:r w:rsidR="00E477F4">
          <w:rPr>
            <w:noProof/>
            <w:webHidden/>
          </w:rPr>
          <w:t>36</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0" w:history="1">
        <w:r w:rsidRPr="00821BE2">
          <w:rPr>
            <w:rStyle w:val="Hypertextovodkaz"/>
            <w:noProof/>
          </w:rPr>
          <w:t>Obr. 4: Schéma bazického úrokového swapu</w:t>
        </w:r>
        <w:r>
          <w:rPr>
            <w:noProof/>
            <w:webHidden/>
          </w:rPr>
          <w:tab/>
        </w:r>
        <w:r>
          <w:rPr>
            <w:noProof/>
            <w:webHidden/>
          </w:rPr>
          <w:fldChar w:fldCharType="begin"/>
        </w:r>
        <w:r>
          <w:rPr>
            <w:noProof/>
            <w:webHidden/>
          </w:rPr>
          <w:instrText xml:space="preserve"> PAGEREF _Toc354393010 \h </w:instrText>
        </w:r>
        <w:r>
          <w:rPr>
            <w:noProof/>
            <w:webHidden/>
          </w:rPr>
        </w:r>
        <w:r>
          <w:rPr>
            <w:noProof/>
            <w:webHidden/>
          </w:rPr>
          <w:fldChar w:fldCharType="separate"/>
        </w:r>
        <w:r w:rsidR="00E477F4">
          <w:rPr>
            <w:noProof/>
            <w:webHidden/>
          </w:rPr>
          <w:t>36</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1" w:history="1">
        <w:r w:rsidRPr="00821BE2">
          <w:rPr>
            <w:rStyle w:val="Hypertextovodkaz"/>
            <w:noProof/>
          </w:rPr>
          <w:t>Obr. 5: Schéma měnovo-úrokového swapu</w:t>
        </w:r>
        <w:r>
          <w:rPr>
            <w:noProof/>
            <w:webHidden/>
          </w:rPr>
          <w:tab/>
        </w:r>
        <w:r>
          <w:rPr>
            <w:noProof/>
            <w:webHidden/>
          </w:rPr>
          <w:fldChar w:fldCharType="begin"/>
        </w:r>
        <w:r>
          <w:rPr>
            <w:noProof/>
            <w:webHidden/>
          </w:rPr>
          <w:instrText xml:space="preserve"> PAGEREF _Toc354393011 \h </w:instrText>
        </w:r>
        <w:r>
          <w:rPr>
            <w:noProof/>
            <w:webHidden/>
          </w:rPr>
        </w:r>
        <w:r>
          <w:rPr>
            <w:noProof/>
            <w:webHidden/>
          </w:rPr>
          <w:fldChar w:fldCharType="separate"/>
        </w:r>
        <w:r w:rsidR="00E477F4">
          <w:rPr>
            <w:noProof/>
            <w:webHidden/>
          </w:rPr>
          <w:t>38</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2" w:history="1">
        <w:r w:rsidRPr="00821BE2">
          <w:rPr>
            <w:rStyle w:val="Hypertextovodkaz"/>
            <w:noProof/>
          </w:rPr>
          <w:t>Obr. 6: Základní dělení opcí</w:t>
        </w:r>
        <w:r>
          <w:rPr>
            <w:noProof/>
            <w:webHidden/>
          </w:rPr>
          <w:tab/>
        </w:r>
        <w:r>
          <w:rPr>
            <w:noProof/>
            <w:webHidden/>
          </w:rPr>
          <w:fldChar w:fldCharType="begin"/>
        </w:r>
        <w:r>
          <w:rPr>
            <w:noProof/>
            <w:webHidden/>
          </w:rPr>
          <w:instrText xml:space="preserve"> PAGEREF _Toc354393012 \h </w:instrText>
        </w:r>
        <w:r>
          <w:rPr>
            <w:noProof/>
            <w:webHidden/>
          </w:rPr>
        </w:r>
        <w:r>
          <w:rPr>
            <w:noProof/>
            <w:webHidden/>
          </w:rPr>
          <w:fldChar w:fldCharType="separate"/>
        </w:r>
        <w:r w:rsidR="00E477F4">
          <w:rPr>
            <w:noProof/>
            <w:webHidden/>
          </w:rPr>
          <w:t>41</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3" w:history="1">
        <w:r w:rsidRPr="00821BE2">
          <w:rPr>
            <w:rStyle w:val="Hypertextovodkaz"/>
            <w:noProof/>
          </w:rPr>
          <w:t>Obr. 7: Graf zisků a ztrát v call opci</w:t>
        </w:r>
        <w:r>
          <w:rPr>
            <w:noProof/>
            <w:webHidden/>
          </w:rPr>
          <w:tab/>
        </w:r>
        <w:r>
          <w:rPr>
            <w:noProof/>
            <w:webHidden/>
          </w:rPr>
          <w:fldChar w:fldCharType="begin"/>
        </w:r>
        <w:r>
          <w:rPr>
            <w:noProof/>
            <w:webHidden/>
          </w:rPr>
          <w:instrText xml:space="preserve"> PAGEREF _Toc354393013 \h </w:instrText>
        </w:r>
        <w:r>
          <w:rPr>
            <w:noProof/>
            <w:webHidden/>
          </w:rPr>
        </w:r>
        <w:r>
          <w:rPr>
            <w:noProof/>
            <w:webHidden/>
          </w:rPr>
          <w:fldChar w:fldCharType="separate"/>
        </w:r>
        <w:r w:rsidR="00E477F4">
          <w:rPr>
            <w:noProof/>
            <w:webHidden/>
          </w:rPr>
          <w:t>43</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4" w:history="1">
        <w:r w:rsidRPr="00821BE2">
          <w:rPr>
            <w:rStyle w:val="Hypertextovodkaz"/>
            <w:noProof/>
          </w:rPr>
          <w:t>Obr. 8: Graf zisků a ztrát v put opci</w:t>
        </w:r>
        <w:r>
          <w:rPr>
            <w:noProof/>
            <w:webHidden/>
          </w:rPr>
          <w:tab/>
        </w:r>
        <w:r>
          <w:rPr>
            <w:noProof/>
            <w:webHidden/>
          </w:rPr>
          <w:fldChar w:fldCharType="begin"/>
        </w:r>
        <w:r>
          <w:rPr>
            <w:noProof/>
            <w:webHidden/>
          </w:rPr>
          <w:instrText xml:space="preserve"> PAGEREF _Toc354393014 \h </w:instrText>
        </w:r>
        <w:r>
          <w:rPr>
            <w:noProof/>
            <w:webHidden/>
          </w:rPr>
        </w:r>
        <w:r>
          <w:rPr>
            <w:noProof/>
            <w:webHidden/>
          </w:rPr>
          <w:fldChar w:fldCharType="separate"/>
        </w:r>
        <w:r w:rsidR="00E477F4">
          <w:rPr>
            <w:noProof/>
            <w:webHidden/>
          </w:rPr>
          <w:t>44</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5" w:history="1">
        <w:r w:rsidRPr="00821BE2">
          <w:rPr>
            <w:rStyle w:val="Hypertextovodkaz"/>
            <w:noProof/>
          </w:rPr>
          <w:t>Obr. 9: Opční prémie ve vztahu mezi realizační a spotovou cenou</w:t>
        </w:r>
        <w:r>
          <w:rPr>
            <w:noProof/>
            <w:webHidden/>
          </w:rPr>
          <w:tab/>
        </w:r>
        <w:r>
          <w:rPr>
            <w:noProof/>
            <w:webHidden/>
          </w:rPr>
          <w:fldChar w:fldCharType="begin"/>
        </w:r>
        <w:r>
          <w:rPr>
            <w:noProof/>
            <w:webHidden/>
          </w:rPr>
          <w:instrText xml:space="preserve"> PAGEREF _Toc354393015 \h </w:instrText>
        </w:r>
        <w:r>
          <w:rPr>
            <w:noProof/>
            <w:webHidden/>
          </w:rPr>
        </w:r>
        <w:r>
          <w:rPr>
            <w:noProof/>
            <w:webHidden/>
          </w:rPr>
          <w:fldChar w:fldCharType="separate"/>
        </w:r>
        <w:r w:rsidR="00E477F4">
          <w:rPr>
            <w:noProof/>
            <w:webHidden/>
          </w:rPr>
          <w:t>46</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6" w:history="1">
        <w:r w:rsidRPr="00821BE2">
          <w:rPr>
            <w:rStyle w:val="Hypertextovodkaz"/>
            <w:noProof/>
          </w:rPr>
          <w:t>Obr. 10: Časová hodnota opce v závislosti na době splatnosti opce</w:t>
        </w:r>
        <w:r>
          <w:rPr>
            <w:noProof/>
            <w:webHidden/>
          </w:rPr>
          <w:tab/>
        </w:r>
        <w:r>
          <w:rPr>
            <w:noProof/>
            <w:webHidden/>
          </w:rPr>
          <w:fldChar w:fldCharType="begin"/>
        </w:r>
        <w:r>
          <w:rPr>
            <w:noProof/>
            <w:webHidden/>
          </w:rPr>
          <w:instrText xml:space="preserve"> PAGEREF _Toc354393016 \h </w:instrText>
        </w:r>
        <w:r>
          <w:rPr>
            <w:noProof/>
            <w:webHidden/>
          </w:rPr>
        </w:r>
        <w:r>
          <w:rPr>
            <w:noProof/>
            <w:webHidden/>
          </w:rPr>
          <w:fldChar w:fldCharType="separate"/>
        </w:r>
        <w:r w:rsidR="00E477F4">
          <w:rPr>
            <w:noProof/>
            <w:webHidden/>
          </w:rPr>
          <w:t>47</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7" w:history="1">
        <w:r w:rsidRPr="00821BE2">
          <w:rPr>
            <w:rStyle w:val="Hypertextovodkaz"/>
            <w:noProof/>
          </w:rPr>
          <w:t>Obr. 11: Grafické znázornění cap</w:t>
        </w:r>
        <w:r>
          <w:rPr>
            <w:noProof/>
            <w:webHidden/>
          </w:rPr>
          <w:tab/>
        </w:r>
        <w:r>
          <w:rPr>
            <w:noProof/>
            <w:webHidden/>
          </w:rPr>
          <w:fldChar w:fldCharType="begin"/>
        </w:r>
        <w:r>
          <w:rPr>
            <w:noProof/>
            <w:webHidden/>
          </w:rPr>
          <w:instrText xml:space="preserve"> PAGEREF _Toc354393017 \h </w:instrText>
        </w:r>
        <w:r>
          <w:rPr>
            <w:noProof/>
            <w:webHidden/>
          </w:rPr>
        </w:r>
        <w:r>
          <w:rPr>
            <w:noProof/>
            <w:webHidden/>
          </w:rPr>
          <w:fldChar w:fldCharType="separate"/>
        </w:r>
        <w:r w:rsidR="00E477F4">
          <w:rPr>
            <w:noProof/>
            <w:webHidden/>
          </w:rPr>
          <w:t>51</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8" w:history="1">
        <w:r w:rsidRPr="00821BE2">
          <w:rPr>
            <w:rStyle w:val="Hypertextovodkaz"/>
            <w:noProof/>
          </w:rPr>
          <w:t>Obr. 12: Grafické znázornění floor</w:t>
        </w:r>
        <w:r>
          <w:rPr>
            <w:noProof/>
            <w:webHidden/>
          </w:rPr>
          <w:tab/>
        </w:r>
        <w:r>
          <w:rPr>
            <w:noProof/>
            <w:webHidden/>
          </w:rPr>
          <w:fldChar w:fldCharType="begin"/>
        </w:r>
        <w:r>
          <w:rPr>
            <w:noProof/>
            <w:webHidden/>
          </w:rPr>
          <w:instrText xml:space="preserve"> PAGEREF _Toc354393018 \h </w:instrText>
        </w:r>
        <w:r>
          <w:rPr>
            <w:noProof/>
            <w:webHidden/>
          </w:rPr>
        </w:r>
        <w:r>
          <w:rPr>
            <w:noProof/>
            <w:webHidden/>
          </w:rPr>
          <w:fldChar w:fldCharType="separate"/>
        </w:r>
        <w:r w:rsidR="00E477F4">
          <w:rPr>
            <w:noProof/>
            <w:webHidden/>
          </w:rPr>
          <w:t>51</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19" w:history="1">
        <w:r w:rsidRPr="00821BE2">
          <w:rPr>
            <w:rStyle w:val="Hypertextovodkaz"/>
            <w:noProof/>
          </w:rPr>
          <w:t>Obr. 13: Grafické znázornění collar</w:t>
        </w:r>
        <w:r>
          <w:rPr>
            <w:noProof/>
            <w:webHidden/>
          </w:rPr>
          <w:tab/>
        </w:r>
        <w:r>
          <w:rPr>
            <w:noProof/>
            <w:webHidden/>
          </w:rPr>
          <w:fldChar w:fldCharType="begin"/>
        </w:r>
        <w:r>
          <w:rPr>
            <w:noProof/>
            <w:webHidden/>
          </w:rPr>
          <w:instrText xml:space="preserve"> PAGEREF _Toc354393019 \h </w:instrText>
        </w:r>
        <w:r>
          <w:rPr>
            <w:noProof/>
            <w:webHidden/>
          </w:rPr>
        </w:r>
        <w:r>
          <w:rPr>
            <w:noProof/>
            <w:webHidden/>
          </w:rPr>
          <w:fldChar w:fldCharType="separate"/>
        </w:r>
        <w:r w:rsidR="00E477F4">
          <w:rPr>
            <w:noProof/>
            <w:webHidden/>
          </w:rPr>
          <w:t>52</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0" w:history="1">
        <w:r w:rsidRPr="00821BE2">
          <w:rPr>
            <w:rStyle w:val="Hypertextovodkaz"/>
            <w:noProof/>
          </w:rPr>
          <w:t>Obr. 14: Roční vývoj úrokové sazby 6M LIBOR USD</w:t>
        </w:r>
        <w:r>
          <w:rPr>
            <w:noProof/>
            <w:webHidden/>
          </w:rPr>
          <w:tab/>
        </w:r>
        <w:r>
          <w:rPr>
            <w:noProof/>
            <w:webHidden/>
          </w:rPr>
          <w:fldChar w:fldCharType="begin"/>
        </w:r>
        <w:r>
          <w:rPr>
            <w:noProof/>
            <w:webHidden/>
          </w:rPr>
          <w:instrText xml:space="preserve"> PAGEREF _Toc354393020 \h </w:instrText>
        </w:r>
        <w:r>
          <w:rPr>
            <w:noProof/>
            <w:webHidden/>
          </w:rPr>
        </w:r>
        <w:r>
          <w:rPr>
            <w:noProof/>
            <w:webHidden/>
          </w:rPr>
          <w:fldChar w:fldCharType="separate"/>
        </w:r>
        <w:r w:rsidR="00E477F4">
          <w:rPr>
            <w:noProof/>
            <w:webHidden/>
          </w:rPr>
          <w:t>55</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1" w:history="1">
        <w:r w:rsidRPr="00821BE2">
          <w:rPr>
            <w:rStyle w:val="Hypertextovodkaz"/>
            <w:noProof/>
          </w:rPr>
          <w:t>Obr. 15: Schéma sjednaného úrokového swapu</w:t>
        </w:r>
        <w:r>
          <w:rPr>
            <w:noProof/>
            <w:webHidden/>
          </w:rPr>
          <w:tab/>
        </w:r>
        <w:r>
          <w:rPr>
            <w:noProof/>
            <w:webHidden/>
          </w:rPr>
          <w:fldChar w:fldCharType="begin"/>
        </w:r>
        <w:r>
          <w:rPr>
            <w:noProof/>
            <w:webHidden/>
          </w:rPr>
          <w:instrText xml:space="preserve"> PAGEREF _Toc354393021 \h </w:instrText>
        </w:r>
        <w:r>
          <w:rPr>
            <w:noProof/>
            <w:webHidden/>
          </w:rPr>
        </w:r>
        <w:r>
          <w:rPr>
            <w:noProof/>
            <w:webHidden/>
          </w:rPr>
          <w:fldChar w:fldCharType="separate"/>
        </w:r>
        <w:r w:rsidR="00E477F4">
          <w:rPr>
            <w:noProof/>
            <w:webHidden/>
          </w:rPr>
          <w:t>57</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2" w:history="1">
        <w:r w:rsidRPr="00821BE2">
          <w:rPr>
            <w:rStyle w:val="Hypertextovodkaz"/>
            <w:noProof/>
          </w:rPr>
          <w:t>Obr. 16: Pozice společnosti v long put opci se splatností t = 0,5</w:t>
        </w:r>
        <w:r>
          <w:rPr>
            <w:noProof/>
            <w:webHidden/>
          </w:rPr>
          <w:tab/>
        </w:r>
        <w:r>
          <w:rPr>
            <w:noProof/>
            <w:webHidden/>
          </w:rPr>
          <w:fldChar w:fldCharType="begin"/>
        </w:r>
        <w:r>
          <w:rPr>
            <w:noProof/>
            <w:webHidden/>
          </w:rPr>
          <w:instrText xml:space="preserve"> PAGEREF _Toc354393022 \h </w:instrText>
        </w:r>
        <w:r>
          <w:rPr>
            <w:noProof/>
            <w:webHidden/>
          </w:rPr>
        </w:r>
        <w:r>
          <w:rPr>
            <w:noProof/>
            <w:webHidden/>
          </w:rPr>
          <w:fldChar w:fldCharType="separate"/>
        </w:r>
        <w:r w:rsidR="00E477F4">
          <w:rPr>
            <w:noProof/>
            <w:webHidden/>
          </w:rPr>
          <w:t>71</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3" w:history="1">
        <w:r w:rsidRPr="00821BE2">
          <w:rPr>
            <w:rStyle w:val="Hypertextovodkaz"/>
            <w:noProof/>
          </w:rPr>
          <w:t>Obr. 17: Pozice společnosti v short call opci se splatností t = 0,5</w:t>
        </w:r>
        <w:r>
          <w:rPr>
            <w:noProof/>
            <w:webHidden/>
          </w:rPr>
          <w:tab/>
        </w:r>
        <w:r>
          <w:rPr>
            <w:noProof/>
            <w:webHidden/>
          </w:rPr>
          <w:fldChar w:fldCharType="begin"/>
        </w:r>
        <w:r>
          <w:rPr>
            <w:noProof/>
            <w:webHidden/>
          </w:rPr>
          <w:instrText xml:space="preserve"> PAGEREF _Toc354393023 \h </w:instrText>
        </w:r>
        <w:r>
          <w:rPr>
            <w:noProof/>
            <w:webHidden/>
          </w:rPr>
        </w:r>
        <w:r>
          <w:rPr>
            <w:noProof/>
            <w:webHidden/>
          </w:rPr>
          <w:fldChar w:fldCharType="separate"/>
        </w:r>
        <w:r w:rsidR="00E477F4">
          <w:rPr>
            <w:noProof/>
            <w:webHidden/>
          </w:rPr>
          <w:t>74</w:t>
        </w:r>
        <w:r>
          <w:rPr>
            <w:noProof/>
            <w:webHidden/>
          </w:rPr>
          <w:fldChar w:fldCharType="end"/>
        </w:r>
      </w:hyperlink>
    </w:p>
    <w:p w:rsidR="00F51FEA" w:rsidRDefault="00FA567C" w:rsidP="001F3E1C">
      <w:pPr>
        <w:spacing w:before="240" w:line="276" w:lineRule="auto"/>
        <w:jc w:val="both"/>
      </w:pPr>
      <w:r>
        <w:fldChar w:fldCharType="end"/>
      </w:r>
    </w:p>
    <w:p w:rsidR="00067A52" w:rsidRDefault="008C3DF8" w:rsidP="00F000E4">
      <w:pPr>
        <w:pStyle w:val="Nadpis1"/>
        <w:numPr>
          <w:ilvl w:val="0"/>
          <w:numId w:val="0"/>
        </w:numPr>
        <w:ind w:left="432" w:hanging="432"/>
      </w:pPr>
      <w:bookmarkStart w:id="108" w:name="_Toc354393083"/>
      <w:r>
        <w:t xml:space="preserve">SEZNAM </w:t>
      </w:r>
      <w:r w:rsidR="00F51FEA">
        <w:t>TABULEK</w:t>
      </w:r>
      <w:bookmarkEnd w:id="108"/>
    </w:p>
    <w:p w:rsidR="001F3E1C" w:rsidRDefault="00FA567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r>
        <w:rPr>
          <w:lang w:eastAsia="cs-CZ"/>
        </w:rPr>
        <w:fldChar w:fldCharType="begin"/>
      </w:r>
      <w:r w:rsidR="00F51FEA">
        <w:rPr>
          <w:lang w:eastAsia="cs-CZ"/>
        </w:rPr>
        <w:instrText xml:space="preserve"> TOC \h \z \c "Tabulka" </w:instrText>
      </w:r>
      <w:r>
        <w:rPr>
          <w:lang w:eastAsia="cs-CZ"/>
        </w:rPr>
        <w:fldChar w:fldCharType="separate"/>
      </w:r>
      <w:hyperlink w:anchor="_Toc354393024" w:history="1">
        <w:r w:rsidR="001F3E1C" w:rsidRPr="00F27A4E">
          <w:rPr>
            <w:rStyle w:val="Hypertextovodkaz"/>
            <w:noProof/>
          </w:rPr>
          <w:t>Tabulka 1: Pozice opce ve vztahu k vnitřní hodnotě</w:t>
        </w:r>
        <w:r w:rsidR="001F3E1C">
          <w:rPr>
            <w:noProof/>
            <w:webHidden/>
          </w:rPr>
          <w:tab/>
        </w:r>
        <w:r w:rsidR="001F3E1C">
          <w:rPr>
            <w:noProof/>
            <w:webHidden/>
          </w:rPr>
          <w:fldChar w:fldCharType="begin"/>
        </w:r>
        <w:r w:rsidR="001F3E1C">
          <w:rPr>
            <w:noProof/>
            <w:webHidden/>
          </w:rPr>
          <w:instrText xml:space="preserve"> PAGEREF _Toc354393024 \h </w:instrText>
        </w:r>
        <w:r w:rsidR="001F3E1C">
          <w:rPr>
            <w:noProof/>
            <w:webHidden/>
          </w:rPr>
        </w:r>
        <w:r w:rsidR="001F3E1C">
          <w:rPr>
            <w:noProof/>
            <w:webHidden/>
          </w:rPr>
          <w:fldChar w:fldCharType="separate"/>
        </w:r>
        <w:r w:rsidR="00E477F4">
          <w:rPr>
            <w:noProof/>
            <w:webHidden/>
          </w:rPr>
          <w:t>45</w:t>
        </w:r>
        <w:r w:rsidR="001F3E1C">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5" w:history="1">
        <w:r w:rsidRPr="00F27A4E">
          <w:rPr>
            <w:rStyle w:val="Hypertextovodkaz"/>
            <w:noProof/>
          </w:rPr>
          <w:t>Tabulka 2: Vliv faktorů ovlivňujících cenu opce (opční prémii)</w:t>
        </w:r>
        <w:r>
          <w:rPr>
            <w:noProof/>
            <w:webHidden/>
          </w:rPr>
          <w:tab/>
        </w:r>
        <w:r>
          <w:rPr>
            <w:noProof/>
            <w:webHidden/>
          </w:rPr>
          <w:fldChar w:fldCharType="begin"/>
        </w:r>
        <w:r>
          <w:rPr>
            <w:noProof/>
            <w:webHidden/>
          </w:rPr>
          <w:instrText xml:space="preserve"> PAGEREF _Toc354393025 \h </w:instrText>
        </w:r>
        <w:r>
          <w:rPr>
            <w:noProof/>
            <w:webHidden/>
          </w:rPr>
        </w:r>
        <w:r>
          <w:rPr>
            <w:noProof/>
            <w:webHidden/>
          </w:rPr>
          <w:fldChar w:fldCharType="separate"/>
        </w:r>
        <w:r w:rsidR="00E477F4">
          <w:rPr>
            <w:noProof/>
            <w:webHidden/>
          </w:rPr>
          <w:t>48</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6" w:history="1">
        <w:r w:rsidRPr="00F27A4E">
          <w:rPr>
            <w:rStyle w:val="Hypertextovodkaz"/>
            <w:noProof/>
          </w:rPr>
          <w:t>Tabulka 3: Simulovaný vývoj úrokových sazeb a měnového kurzu</w:t>
        </w:r>
        <w:r>
          <w:rPr>
            <w:noProof/>
            <w:webHidden/>
          </w:rPr>
          <w:tab/>
        </w:r>
        <w:r>
          <w:rPr>
            <w:noProof/>
            <w:webHidden/>
          </w:rPr>
          <w:fldChar w:fldCharType="begin"/>
        </w:r>
        <w:r>
          <w:rPr>
            <w:noProof/>
            <w:webHidden/>
          </w:rPr>
          <w:instrText xml:space="preserve"> PAGEREF _Toc354393026 \h </w:instrText>
        </w:r>
        <w:r>
          <w:rPr>
            <w:noProof/>
            <w:webHidden/>
          </w:rPr>
        </w:r>
        <w:r>
          <w:rPr>
            <w:noProof/>
            <w:webHidden/>
          </w:rPr>
          <w:fldChar w:fldCharType="separate"/>
        </w:r>
        <w:r w:rsidR="00E477F4">
          <w:rPr>
            <w:noProof/>
            <w:webHidden/>
          </w:rPr>
          <w:t>56</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7" w:history="1">
        <w:r w:rsidRPr="00F27A4E">
          <w:rPr>
            <w:rStyle w:val="Hypertextovodkaz"/>
            <w:noProof/>
          </w:rPr>
          <w:t>Tabulka 4: Očekávané peněžní toky plynoucí ze sjednaného úrokového swapu</w:t>
        </w:r>
        <w:r>
          <w:rPr>
            <w:noProof/>
            <w:webHidden/>
          </w:rPr>
          <w:tab/>
        </w:r>
        <w:r>
          <w:rPr>
            <w:noProof/>
            <w:webHidden/>
          </w:rPr>
          <w:fldChar w:fldCharType="begin"/>
        </w:r>
        <w:r>
          <w:rPr>
            <w:noProof/>
            <w:webHidden/>
          </w:rPr>
          <w:instrText xml:space="preserve"> PAGEREF _Toc354393027 \h </w:instrText>
        </w:r>
        <w:r>
          <w:rPr>
            <w:noProof/>
            <w:webHidden/>
          </w:rPr>
        </w:r>
        <w:r>
          <w:rPr>
            <w:noProof/>
            <w:webHidden/>
          </w:rPr>
          <w:fldChar w:fldCharType="separate"/>
        </w:r>
        <w:r w:rsidR="00E477F4">
          <w:rPr>
            <w:noProof/>
            <w:webHidden/>
          </w:rPr>
          <w:t>58</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8" w:history="1">
        <w:r w:rsidRPr="00F27A4E">
          <w:rPr>
            <w:rStyle w:val="Hypertextovodkaz"/>
            <w:noProof/>
          </w:rPr>
          <w:t>Tabulka 5: Splátky úvěru</w:t>
        </w:r>
        <w:r>
          <w:rPr>
            <w:noProof/>
            <w:webHidden/>
          </w:rPr>
          <w:tab/>
        </w:r>
        <w:r>
          <w:rPr>
            <w:noProof/>
            <w:webHidden/>
          </w:rPr>
          <w:fldChar w:fldCharType="begin"/>
        </w:r>
        <w:r>
          <w:rPr>
            <w:noProof/>
            <w:webHidden/>
          </w:rPr>
          <w:instrText xml:space="preserve"> PAGEREF _Toc354393028 \h </w:instrText>
        </w:r>
        <w:r>
          <w:rPr>
            <w:noProof/>
            <w:webHidden/>
          </w:rPr>
        </w:r>
        <w:r>
          <w:rPr>
            <w:noProof/>
            <w:webHidden/>
          </w:rPr>
          <w:fldChar w:fldCharType="separate"/>
        </w:r>
        <w:r w:rsidR="00E477F4">
          <w:rPr>
            <w:noProof/>
            <w:webHidden/>
          </w:rPr>
          <w:t>59</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29" w:history="1">
        <w:r w:rsidRPr="00F27A4E">
          <w:rPr>
            <w:rStyle w:val="Hypertextovodkaz"/>
            <w:noProof/>
          </w:rPr>
          <w:t>Tabulka 6: Hodnoty proměnných</w:t>
        </w:r>
        <w:r>
          <w:rPr>
            <w:noProof/>
            <w:webHidden/>
          </w:rPr>
          <w:tab/>
        </w:r>
        <w:r>
          <w:rPr>
            <w:noProof/>
            <w:webHidden/>
          </w:rPr>
          <w:fldChar w:fldCharType="begin"/>
        </w:r>
        <w:r>
          <w:rPr>
            <w:noProof/>
            <w:webHidden/>
          </w:rPr>
          <w:instrText xml:space="preserve"> PAGEREF _Toc354393029 \h </w:instrText>
        </w:r>
        <w:r>
          <w:rPr>
            <w:noProof/>
            <w:webHidden/>
          </w:rPr>
        </w:r>
        <w:r>
          <w:rPr>
            <w:noProof/>
            <w:webHidden/>
          </w:rPr>
          <w:fldChar w:fldCharType="separate"/>
        </w:r>
        <w:r w:rsidR="00E477F4">
          <w:rPr>
            <w:noProof/>
            <w:webHidden/>
          </w:rPr>
          <w:t>60</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0" w:history="1">
        <w:r w:rsidRPr="00F27A4E">
          <w:rPr>
            <w:rStyle w:val="Hypertextovodkaz"/>
            <w:noProof/>
          </w:rPr>
          <w:t>Tabulka 7: Peněžní toky plynoucí ze sjednaných měnových forwardů</w:t>
        </w:r>
        <w:r>
          <w:rPr>
            <w:noProof/>
            <w:webHidden/>
          </w:rPr>
          <w:tab/>
        </w:r>
        <w:r>
          <w:rPr>
            <w:noProof/>
            <w:webHidden/>
          </w:rPr>
          <w:fldChar w:fldCharType="begin"/>
        </w:r>
        <w:r>
          <w:rPr>
            <w:noProof/>
            <w:webHidden/>
          </w:rPr>
          <w:instrText xml:space="preserve"> PAGEREF _Toc354393030 \h </w:instrText>
        </w:r>
        <w:r>
          <w:rPr>
            <w:noProof/>
            <w:webHidden/>
          </w:rPr>
        </w:r>
        <w:r>
          <w:rPr>
            <w:noProof/>
            <w:webHidden/>
          </w:rPr>
          <w:fldChar w:fldCharType="separate"/>
        </w:r>
        <w:r w:rsidR="00E477F4">
          <w:rPr>
            <w:noProof/>
            <w:webHidden/>
          </w:rPr>
          <w:t>62</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1" w:history="1">
        <w:r w:rsidRPr="00F27A4E">
          <w:rPr>
            <w:rStyle w:val="Hypertextovodkaz"/>
            <w:noProof/>
          </w:rPr>
          <w:t>Tabulka 8: Prodané futures kontrakty</w:t>
        </w:r>
        <w:r>
          <w:rPr>
            <w:noProof/>
            <w:webHidden/>
          </w:rPr>
          <w:tab/>
        </w:r>
        <w:r>
          <w:rPr>
            <w:noProof/>
            <w:webHidden/>
          </w:rPr>
          <w:fldChar w:fldCharType="begin"/>
        </w:r>
        <w:r>
          <w:rPr>
            <w:noProof/>
            <w:webHidden/>
          </w:rPr>
          <w:instrText xml:space="preserve"> PAGEREF _Toc354393031 \h </w:instrText>
        </w:r>
        <w:r>
          <w:rPr>
            <w:noProof/>
            <w:webHidden/>
          </w:rPr>
        </w:r>
        <w:r>
          <w:rPr>
            <w:noProof/>
            <w:webHidden/>
          </w:rPr>
          <w:fldChar w:fldCharType="separate"/>
        </w:r>
        <w:r w:rsidR="00E477F4">
          <w:rPr>
            <w:noProof/>
            <w:webHidden/>
          </w:rPr>
          <w:t>66</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2" w:history="1">
        <w:r w:rsidRPr="00F27A4E">
          <w:rPr>
            <w:rStyle w:val="Hypertextovodkaz"/>
            <w:noProof/>
          </w:rPr>
          <w:t>Tabulka 9: Koupené futures kontrakty</w:t>
        </w:r>
        <w:r>
          <w:rPr>
            <w:noProof/>
            <w:webHidden/>
          </w:rPr>
          <w:tab/>
        </w:r>
        <w:r>
          <w:rPr>
            <w:noProof/>
            <w:webHidden/>
          </w:rPr>
          <w:fldChar w:fldCharType="begin"/>
        </w:r>
        <w:r>
          <w:rPr>
            <w:noProof/>
            <w:webHidden/>
          </w:rPr>
          <w:instrText xml:space="preserve"> PAGEREF _Toc354393032 \h </w:instrText>
        </w:r>
        <w:r>
          <w:rPr>
            <w:noProof/>
            <w:webHidden/>
          </w:rPr>
        </w:r>
        <w:r>
          <w:rPr>
            <w:noProof/>
            <w:webHidden/>
          </w:rPr>
          <w:fldChar w:fldCharType="separate"/>
        </w:r>
        <w:r w:rsidR="00E477F4">
          <w:rPr>
            <w:noProof/>
            <w:webHidden/>
          </w:rPr>
          <w:t>67</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3" w:history="1">
        <w:r w:rsidRPr="00F27A4E">
          <w:rPr>
            <w:rStyle w:val="Hypertextovodkaz"/>
            <w:noProof/>
          </w:rPr>
          <w:t>Tabulka 10: Spotové a futures měnové kurzy pro jednotlivá období</w:t>
        </w:r>
        <w:r>
          <w:rPr>
            <w:noProof/>
            <w:webHidden/>
          </w:rPr>
          <w:tab/>
        </w:r>
        <w:r>
          <w:rPr>
            <w:noProof/>
            <w:webHidden/>
          </w:rPr>
          <w:fldChar w:fldCharType="begin"/>
        </w:r>
        <w:r>
          <w:rPr>
            <w:noProof/>
            <w:webHidden/>
          </w:rPr>
          <w:instrText xml:space="preserve"> PAGEREF _Toc354393033 \h </w:instrText>
        </w:r>
        <w:r>
          <w:rPr>
            <w:noProof/>
            <w:webHidden/>
          </w:rPr>
        </w:r>
        <w:r>
          <w:rPr>
            <w:noProof/>
            <w:webHidden/>
          </w:rPr>
          <w:fldChar w:fldCharType="separate"/>
        </w:r>
        <w:r w:rsidR="00E477F4">
          <w:rPr>
            <w:noProof/>
            <w:webHidden/>
          </w:rPr>
          <w:t>67</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4" w:history="1">
        <w:r w:rsidRPr="00F27A4E">
          <w:rPr>
            <w:rStyle w:val="Hypertextovodkaz"/>
            <w:noProof/>
          </w:rPr>
          <w:t>Tabulka 11: Konečná situace při zajištění pomocí měnových futures</w:t>
        </w:r>
        <w:r>
          <w:rPr>
            <w:noProof/>
            <w:webHidden/>
          </w:rPr>
          <w:tab/>
        </w:r>
        <w:r>
          <w:rPr>
            <w:noProof/>
            <w:webHidden/>
          </w:rPr>
          <w:fldChar w:fldCharType="begin"/>
        </w:r>
        <w:r>
          <w:rPr>
            <w:noProof/>
            <w:webHidden/>
          </w:rPr>
          <w:instrText xml:space="preserve"> PAGEREF _Toc354393034 \h </w:instrText>
        </w:r>
        <w:r>
          <w:rPr>
            <w:noProof/>
            <w:webHidden/>
          </w:rPr>
        </w:r>
        <w:r>
          <w:rPr>
            <w:noProof/>
            <w:webHidden/>
          </w:rPr>
          <w:fldChar w:fldCharType="separate"/>
        </w:r>
        <w:r w:rsidR="00E477F4">
          <w:rPr>
            <w:noProof/>
            <w:webHidden/>
          </w:rPr>
          <w:t>68</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5" w:history="1">
        <w:r w:rsidRPr="00F27A4E">
          <w:rPr>
            <w:rStyle w:val="Hypertextovodkaz"/>
            <w:noProof/>
          </w:rPr>
          <w:t>Tabulka 12: Hodnoty proměnných pro výpočet opční prémie</w:t>
        </w:r>
        <w:r>
          <w:rPr>
            <w:noProof/>
            <w:webHidden/>
          </w:rPr>
          <w:tab/>
        </w:r>
        <w:r>
          <w:rPr>
            <w:noProof/>
            <w:webHidden/>
          </w:rPr>
          <w:fldChar w:fldCharType="begin"/>
        </w:r>
        <w:r>
          <w:rPr>
            <w:noProof/>
            <w:webHidden/>
          </w:rPr>
          <w:instrText xml:space="preserve"> PAGEREF _Toc354393035 \h </w:instrText>
        </w:r>
        <w:r>
          <w:rPr>
            <w:noProof/>
            <w:webHidden/>
          </w:rPr>
        </w:r>
        <w:r>
          <w:rPr>
            <w:noProof/>
            <w:webHidden/>
          </w:rPr>
          <w:fldChar w:fldCharType="separate"/>
        </w:r>
        <w:r w:rsidR="00E477F4">
          <w:rPr>
            <w:noProof/>
            <w:webHidden/>
          </w:rPr>
          <w:t>70</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6" w:history="1">
        <w:r w:rsidRPr="00F27A4E">
          <w:rPr>
            <w:rStyle w:val="Hypertextovodkaz"/>
            <w:noProof/>
          </w:rPr>
          <w:t>Tabulka 13: Výše opční prémie long put opcí</w:t>
        </w:r>
        <w:r>
          <w:rPr>
            <w:noProof/>
            <w:webHidden/>
          </w:rPr>
          <w:tab/>
        </w:r>
        <w:r>
          <w:rPr>
            <w:noProof/>
            <w:webHidden/>
          </w:rPr>
          <w:fldChar w:fldCharType="begin"/>
        </w:r>
        <w:r>
          <w:rPr>
            <w:noProof/>
            <w:webHidden/>
          </w:rPr>
          <w:instrText xml:space="preserve"> PAGEREF _Toc354393036 \h </w:instrText>
        </w:r>
        <w:r>
          <w:rPr>
            <w:noProof/>
            <w:webHidden/>
          </w:rPr>
        </w:r>
        <w:r>
          <w:rPr>
            <w:noProof/>
            <w:webHidden/>
          </w:rPr>
          <w:fldChar w:fldCharType="separate"/>
        </w:r>
        <w:r w:rsidR="00E477F4">
          <w:rPr>
            <w:noProof/>
            <w:webHidden/>
          </w:rPr>
          <w:t>72</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7" w:history="1">
        <w:r w:rsidRPr="00F27A4E">
          <w:rPr>
            <w:rStyle w:val="Hypertextovodkaz"/>
            <w:noProof/>
          </w:rPr>
          <w:t>Tabulka 14: Výsledné hodnoty zajištění pomocí long put opcí</w:t>
        </w:r>
        <w:r>
          <w:rPr>
            <w:noProof/>
            <w:webHidden/>
          </w:rPr>
          <w:tab/>
        </w:r>
        <w:r>
          <w:rPr>
            <w:noProof/>
            <w:webHidden/>
          </w:rPr>
          <w:fldChar w:fldCharType="begin"/>
        </w:r>
        <w:r>
          <w:rPr>
            <w:noProof/>
            <w:webHidden/>
          </w:rPr>
          <w:instrText xml:space="preserve"> PAGEREF _Toc354393037 \h </w:instrText>
        </w:r>
        <w:r>
          <w:rPr>
            <w:noProof/>
            <w:webHidden/>
          </w:rPr>
        </w:r>
        <w:r>
          <w:rPr>
            <w:noProof/>
            <w:webHidden/>
          </w:rPr>
          <w:fldChar w:fldCharType="separate"/>
        </w:r>
        <w:r w:rsidR="00E477F4">
          <w:rPr>
            <w:noProof/>
            <w:webHidden/>
          </w:rPr>
          <w:t>72</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8" w:history="1">
        <w:r w:rsidRPr="00F27A4E">
          <w:rPr>
            <w:rStyle w:val="Hypertextovodkaz"/>
            <w:noProof/>
          </w:rPr>
          <w:t>Tabulka 15: Výše opční prémie short call opcí</w:t>
        </w:r>
        <w:r>
          <w:rPr>
            <w:noProof/>
            <w:webHidden/>
          </w:rPr>
          <w:tab/>
        </w:r>
        <w:r>
          <w:rPr>
            <w:noProof/>
            <w:webHidden/>
          </w:rPr>
          <w:fldChar w:fldCharType="begin"/>
        </w:r>
        <w:r>
          <w:rPr>
            <w:noProof/>
            <w:webHidden/>
          </w:rPr>
          <w:instrText xml:space="preserve"> PAGEREF _Toc354393038 \h </w:instrText>
        </w:r>
        <w:r>
          <w:rPr>
            <w:noProof/>
            <w:webHidden/>
          </w:rPr>
        </w:r>
        <w:r>
          <w:rPr>
            <w:noProof/>
            <w:webHidden/>
          </w:rPr>
          <w:fldChar w:fldCharType="separate"/>
        </w:r>
        <w:r w:rsidR="00E477F4">
          <w:rPr>
            <w:noProof/>
            <w:webHidden/>
          </w:rPr>
          <w:t>75</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39" w:history="1">
        <w:r w:rsidRPr="00F27A4E">
          <w:rPr>
            <w:rStyle w:val="Hypertextovodkaz"/>
            <w:noProof/>
          </w:rPr>
          <w:t>Tabulka 16: Výsledné hodnoty short call opcí</w:t>
        </w:r>
        <w:r>
          <w:rPr>
            <w:noProof/>
            <w:webHidden/>
          </w:rPr>
          <w:tab/>
        </w:r>
        <w:r>
          <w:rPr>
            <w:noProof/>
            <w:webHidden/>
          </w:rPr>
          <w:fldChar w:fldCharType="begin"/>
        </w:r>
        <w:r>
          <w:rPr>
            <w:noProof/>
            <w:webHidden/>
          </w:rPr>
          <w:instrText xml:space="preserve"> PAGEREF _Toc354393039 \h </w:instrText>
        </w:r>
        <w:r>
          <w:rPr>
            <w:noProof/>
            <w:webHidden/>
          </w:rPr>
        </w:r>
        <w:r>
          <w:rPr>
            <w:noProof/>
            <w:webHidden/>
          </w:rPr>
          <w:fldChar w:fldCharType="separate"/>
        </w:r>
        <w:r w:rsidR="00E477F4">
          <w:rPr>
            <w:noProof/>
            <w:webHidden/>
          </w:rPr>
          <w:t>75</w:t>
        </w:r>
        <w:r>
          <w:rPr>
            <w:noProof/>
            <w:webHidden/>
          </w:rPr>
          <w:fldChar w:fldCharType="end"/>
        </w:r>
      </w:hyperlink>
    </w:p>
    <w:p w:rsidR="001F3E1C" w:rsidRDefault="001F3E1C" w:rsidP="001F3E1C">
      <w:pPr>
        <w:pStyle w:val="Seznamobrzk"/>
        <w:tabs>
          <w:tab w:val="right" w:leader="dot" w:pos="9060"/>
        </w:tabs>
        <w:spacing w:line="276" w:lineRule="auto"/>
        <w:rPr>
          <w:rFonts w:asciiTheme="minorHAnsi" w:eastAsiaTheme="minorEastAsia" w:hAnsiTheme="minorHAnsi" w:cstheme="minorBidi"/>
          <w:noProof/>
          <w:sz w:val="22"/>
          <w:szCs w:val="22"/>
          <w:lang w:eastAsia="cs-CZ"/>
        </w:rPr>
      </w:pPr>
      <w:hyperlink w:anchor="_Toc354393040" w:history="1">
        <w:r w:rsidRPr="00F27A4E">
          <w:rPr>
            <w:rStyle w:val="Hypertextovodkaz"/>
            <w:noProof/>
          </w:rPr>
          <w:t>Tabulka 17: Porovnání jednotlivých způsobů zajištění měnového rizika</w:t>
        </w:r>
        <w:r>
          <w:rPr>
            <w:noProof/>
            <w:webHidden/>
          </w:rPr>
          <w:tab/>
        </w:r>
        <w:r>
          <w:rPr>
            <w:noProof/>
            <w:webHidden/>
          </w:rPr>
          <w:fldChar w:fldCharType="begin"/>
        </w:r>
        <w:r>
          <w:rPr>
            <w:noProof/>
            <w:webHidden/>
          </w:rPr>
          <w:instrText xml:space="preserve"> PAGEREF _Toc354393040 \h </w:instrText>
        </w:r>
        <w:r>
          <w:rPr>
            <w:noProof/>
            <w:webHidden/>
          </w:rPr>
        </w:r>
        <w:r>
          <w:rPr>
            <w:noProof/>
            <w:webHidden/>
          </w:rPr>
          <w:fldChar w:fldCharType="separate"/>
        </w:r>
        <w:r w:rsidR="00E477F4">
          <w:rPr>
            <w:noProof/>
            <w:webHidden/>
          </w:rPr>
          <w:t>77</w:t>
        </w:r>
        <w:r>
          <w:rPr>
            <w:noProof/>
            <w:webHidden/>
          </w:rPr>
          <w:fldChar w:fldCharType="end"/>
        </w:r>
      </w:hyperlink>
    </w:p>
    <w:p w:rsidR="007732BD" w:rsidRDefault="00FA567C" w:rsidP="001F3E1C">
      <w:pPr>
        <w:spacing w:line="276" w:lineRule="auto"/>
        <w:jc w:val="both"/>
        <w:rPr>
          <w:lang w:eastAsia="cs-CZ"/>
        </w:rPr>
      </w:pPr>
      <w:r>
        <w:rPr>
          <w:lang w:eastAsia="cs-CZ"/>
        </w:rPr>
        <w:fldChar w:fldCharType="end"/>
      </w:r>
    </w:p>
    <w:p w:rsidR="008C3DF8" w:rsidRDefault="007732BD" w:rsidP="00F000E4">
      <w:pPr>
        <w:pStyle w:val="Nadpis1"/>
        <w:numPr>
          <w:ilvl w:val="0"/>
          <w:numId w:val="0"/>
        </w:numPr>
        <w:ind w:left="432" w:hanging="432"/>
      </w:pPr>
      <w:bookmarkStart w:id="109" w:name="_Toc354393084"/>
      <w:r>
        <w:lastRenderedPageBreak/>
        <w:t>SEZNAM POUŽITÝCH ZKRATEK</w:t>
      </w:r>
      <w:bookmarkEnd w:id="109"/>
    </w:p>
    <w:p w:rsidR="007732BD" w:rsidRDefault="007732BD" w:rsidP="00526C59">
      <w:pPr>
        <w:spacing w:after="240"/>
        <w:rPr>
          <w:lang w:eastAsia="cs-CZ"/>
        </w:rPr>
      </w:pPr>
    </w:p>
    <w:p w:rsidR="00CA6BDE" w:rsidRDefault="00CA6BDE" w:rsidP="007732BD">
      <w:pPr>
        <w:spacing w:after="240" w:line="276" w:lineRule="auto"/>
        <w:jc w:val="both"/>
        <w:rPr>
          <w:lang w:eastAsia="cs-CZ"/>
        </w:rPr>
      </w:pPr>
      <w:r>
        <w:rPr>
          <w:lang w:eastAsia="cs-CZ"/>
        </w:rPr>
        <w:t>SEC</w:t>
      </w:r>
      <w:r>
        <w:rPr>
          <w:lang w:eastAsia="cs-CZ"/>
        </w:rPr>
        <w:tab/>
      </w:r>
      <w:r>
        <w:rPr>
          <w:lang w:eastAsia="cs-CZ"/>
        </w:rPr>
        <w:tab/>
      </w:r>
      <w:r w:rsidRPr="00CA6BDE">
        <w:rPr>
          <w:bCs/>
        </w:rPr>
        <w:t>U.S. Securities and Exchange Commission</w:t>
      </w:r>
    </w:p>
    <w:p w:rsidR="00EE58C8" w:rsidRDefault="00EE58C8" w:rsidP="007732BD">
      <w:pPr>
        <w:spacing w:after="240" w:line="276" w:lineRule="auto"/>
        <w:jc w:val="both"/>
        <w:rPr>
          <w:lang w:eastAsia="cs-CZ"/>
        </w:rPr>
      </w:pPr>
      <w:r>
        <w:rPr>
          <w:lang w:eastAsia="cs-CZ"/>
        </w:rPr>
        <w:t>CBOT</w:t>
      </w:r>
      <w:r>
        <w:rPr>
          <w:lang w:eastAsia="cs-CZ"/>
        </w:rPr>
        <w:tab/>
      </w:r>
      <w:r>
        <w:rPr>
          <w:lang w:eastAsia="cs-CZ"/>
        </w:rPr>
        <w:tab/>
        <w:t>Chicago Board of Trade</w:t>
      </w:r>
    </w:p>
    <w:p w:rsidR="007732BD" w:rsidRDefault="007732BD" w:rsidP="007732BD">
      <w:pPr>
        <w:spacing w:after="240" w:line="276" w:lineRule="auto"/>
        <w:jc w:val="both"/>
        <w:rPr>
          <w:lang w:eastAsia="cs-CZ"/>
        </w:rPr>
      </w:pPr>
      <w:r>
        <w:rPr>
          <w:lang w:eastAsia="cs-CZ"/>
        </w:rPr>
        <w:t>OTC</w:t>
      </w:r>
      <w:r>
        <w:rPr>
          <w:lang w:eastAsia="cs-CZ"/>
        </w:rPr>
        <w:tab/>
      </w:r>
      <w:r>
        <w:rPr>
          <w:lang w:eastAsia="cs-CZ"/>
        </w:rPr>
        <w:tab/>
        <w:t>Over the counter</w:t>
      </w:r>
    </w:p>
    <w:p w:rsidR="007732BD" w:rsidRDefault="007732BD" w:rsidP="007732BD">
      <w:pPr>
        <w:spacing w:after="240" w:line="276" w:lineRule="auto"/>
        <w:jc w:val="both"/>
        <w:rPr>
          <w:lang w:eastAsia="cs-CZ"/>
        </w:rPr>
      </w:pPr>
      <w:r>
        <w:rPr>
          <w:lang w:eastAsia="cs-CZ"/>
        </w:rPr>
        <w:t>FRA</w:t>
      </w:r>
      <w:r>
        <w:rPr>
          <w:lang w:eastAsia="cs-CZ"/>
        </w:rPr>
        <w:tab/>
      </w:r>
      <w:r>
        <w:rPr>
          <w:lang w:eastAsia="cs-CZ"/>
        </w:rPr>
        <w:tab/>
        <w:t>Forward rate agreement</w:t>
      </w:r>
    </w:p>
    <w:p w:rsidR="007732BD" w:rsidRDefault="007732BD" w:rsidP="007732BD">
      <w:pPr>
        <w:spacing w:after="240" w:line="276" w:lineRule="auto"/>
        <w:jc w:val="both"/>
        <w:rPr>
          <w:lang w:eastAsia="cs-CZ"/>
        </w:rPr>
      </w:pPr>
      <w:r>
        <w:rPr>
          <w:lang w:eastAsia="cs-CZ"/>
        </w:rPr>
        <w:t>CZK</w:t>
      </w:r>
      <w:r>
        <w:rPr>
          <w:lang w:eastAsia="cs-CZ"/>
        </w:rPr>
        <w:tab/>
      </w:r>
      <w:r>
        <w:rPr>
          <w:lang w:eastAsia="cs-CZ"/>
        </w:rPr>
        <w:tab/>
        <w:t>Česká koruna</w:t>
      </w:r>
    </w:p>
    <w:p w:rsidR="007732BD" w:rsidRDefault="007732BD" w:rsidP="007732BD">
      <w:pPr>
        <w:spacing w:after="240" w:line="276" w:lineRule="auto"/>
        <w:jc w:val="both"/>
        <w:rPr>
          <w:lang w:eastAsia="cs-CZ"/>
        </w:rPr>
      </w:pPr>
      <w:r>
        <w:rPr>
          <w:lang w:eastAsia="cs-CZ"/>
        </w:rPr>
        <w:t>USD</w:t>
      </w:r>
      <w:r>
        <w:rPr>
          <w:lang w:eastAsia="cs-CZ"/>
        </w:rPr>
        <w:tab/>
      </w:r>
      <w:r>
        <w:rPr>
          <w:lang w:eastAsia="cs-CZ"/>
        </w:rPr>
        <w:tab/>
        <w:t>Americký dolar</w:t>
      </w:r>
    </w:p>
    <w:p w:rsidR="007732BD" w:rsidRDefault="007732BD" w:rsidP="007732BD">
      <w:pPr>
        <w:spacing w:after="240" w:line="276" w:lineRule="auto"/>
        <w:jc w:val="both"/>
        <w:rPr>
          <w:lang w:eastAsia="cs-CZ"/>
        </w:rPr>
      </w:pPr>
      <w:r>
        <w:rPr>
          <w:lang w:eastAsia="cs-CZ"/>
        </w:rPr>
        <w:t>EUR</w:t>
      </w:r>
      <w:r>
        <w:rPr>
          <w:lang w:eastAsia="cs-CZ"/>
        </w:rPr>
        <w:tab/>
      </w:r>
      <w:r>
        <w:rPr>
          <w:lang w:eastAsia="cs-CZ"/>
        </w:rPr>
        <w:tab/>
        <w:t>Euro</w:t>
      </w:r>
    </w:p>
    <w:p w:rsidR="007732BD" w:rsidRDefault="007732BD" w:rsidP="007732BD">
      <w:pPr>
        <w:spacing w:after="240" w:line="276" w:lineRule="auto"/>
        <w:jc w:val="both"/>
        <w:rPr>
          <w:lang w:eastAsia="cs-CZ"/>
        </w:rPr>
      </w:pPr>
      <w:r>
        <w:rPr>
          <w:lang w:eastAsia="cs-CZ"/>
        </w:rPr>
        <w:t>ČNB</w:t>
      </w:r>
      <w:r>
        <w:rPr>
          <w:lang w:eastAsia="cs-CZ"/>
        </w:rPr>
        <w:tab/>
      </w:r>
      <w:r>
        <w:rPr>
          <w:lang w:eastAsia="cs-CZ"/>
        </w:rPr>
        <w:tab/>
        <w:t>Česká národní banka</w:t>
      </w:r>
    </w:p>
    <w:p w:rsidR="00AC674B" w:rsidRDefault="00AC674B" w:rsidP="007732BD">
      <w:pPr>
        <w:spacing w:after="240" w:line="276" w:lineRule="auto"/>
        <w:jc w:val="both"/>
        <w:rPr>
          <w:lang w:eastAsia="cs-CZ"/>
        </w:rPr>
      </w:pPr>
      <w:r>
        <w:rPr>
          <w:lang w:eastAsia="cs-CZ"/>
        </w:rPr>
        <w:t>LIBOR</w:t>
      </w:r>
      <w:r>
        <w:rPr>
          <w:lang w:eastAsia="cs-CZ"/>
        </w:rPr>
        <w:tab/>
        <w:t>London Interbank Offered Rate (Londýnská mezibankovní nabídková sazba)</w:t>
      </w:r>
    </w:p>
    <w:p w:rsidR="000C2502" w:rsidRDefault="000C2502" w:rsidP="007732BD">
      <w:pPr>
        <w:spacing w:after="240" w:line="276" w:lineRule="auto"/>
        <w:jc w:val="both"/>
        <w:rPr>
          <w:lang w:eastAsia="cs-CZ"/>
        </w:rPr>
      </w:pPr>
      <w:r>
        <w:rPr>
          <w:lang w:eastAsia="cs-CZ"/>
        </w:rPr>
        <w:t>PRIBOR</w:t>
      </w:r>
      <w:r>
        <w:rPr>
          <w:lang w:eastAsia="cs-CZ"/>
        </w:rPr>
        <w:tab/>
        <w:t>Prague Interbank Offered Rate (Pražská mezibankovní nabídková sazba)</w:t>
      </w:r>
    </w:p>
    <w:p w:rsidR="00AC674B" w:rsidRDefault="00AC674B" w:rsidP="007732BD">
      <w:pPr>
        <w:spacing w:after="240" w:line="276" w:lineRule="auto"/>
        <w:jc w:val="both"/>
        <w:rPr>
          <w:lang w:eastAsia="cs-CZ"/>
        </w:rPr>
      </w:pPr>
    </w:p>
    <w:p w:rsidR="00EE58C8" w:rsidRDefault="00EE58C8" w:rsidP="007732BD">
      <w:pPr>
        <w:spacing w:after="240" w:line="276" w:lineRule="auto"/>
        <w:jc w:val="both"/>
        <w:rPr>
          <w:lang w:eastAsia="cs-CZ"/>
        </w:rPr>
      </w:pPr>
    </w:p>
    <w:p w:rsidR="007732BD" w:rsidRDefault="007732BD" w:rsidP="007732BD">
      <w:pPr>
        <w:spacing w:after="240" w:line="276" w:lineRule="auto"/>
        <w:jc w:val="both"/>
        <w:rPr>
          <w:lang w:eastAsia="cs-CZ"/>
        </w:rPr>
      </w:pPr>
    </w:p>
    <w:p w:rsidR="007732BD" w:rsidRDefault="007732BD" w:rsidP="007732BD">
      <w:pPr>
        <w:spacing w:after="240" w:line="276" w:lineRule="auto"/>
        <w:jc w:val="both"/>
        <w:rPr>
          <w:lang w:eastAsia="cs-CZ"/>
        </w:rPr>
      </w:pPr>
      <w:r>
        <w:rPr>
          <w:lang w:eastAsia="cs-CZ"/>
        </w:rPr>
        <w:tab/>
      </w:r>
      <w:r>
        <w:rPr>
          <w:lang w:eastAsia="cs-CZ"/>
        </w:rPr>
        <w:tab/>
      </w:r>
    </w:p>
    <w:p w:rsidR="007732BD" w:rsidRPr="007732BD" w:rsidRDefault="007732BD" w:rsidP="007732BD">
      <w:pPr>
        <w:spacing w:after="240" w:line="276" w:lineRule="auto"/>
        <w:jc w:val="both"/>
        <w:rPr>
          <w:lang w:eastAsia="cs-CZ"/>
        </w:rPr>
      </w:pPr>
    </w:p>
    <w:sectPr w:rsidR="007732BD" w:rsidRPr="007732BD" w:rsidSect="00AE17FE">
      <w:footerReference w:type="even" r:id="rId32"/>
      <w:footerReference w:type="default" r:id="rId33"/>
      <w:pgSz w:w="11906" w:h="16838"/>
      <w:pgMar w:top="1418" w:right="851"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1190" w:rsidRDefault="00081190" w:rsidP="003D7899">
      <w:r>
        <w:separator/>
      </w:r>
    </w:p>
  </w:endnote>
  <w:endnote w:type="continuationSeparator" w:id="0">
    <w:p w:rsidR="00081190" w:rsidRDefault="00081190" w:rsidP="003D78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A00002EF" w:usb1="420020EB"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903" w:rsidRDefault="00146903">
    <w:pPr>
      <w:pStyle w:val="Zpat"/>
    </w:pPr>
  </w:p>
  <w:p w:rsidR="00146903" w:rsidRDefault="00146903">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903" w:rsidRDefault="00146903">
    <w:pPr>
      <w:pStyle w:val="Zpat"/>
      <w:jc w:val="right"/>
    </w:pPr>
  </w:p>
  <w:p w:rsidR="00146903" w:rsidRDefault="00146903">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5149104"/>
      <w:docPartObj>
        <w:docPartGallery w:val="Page Numbers (Bottom of Page)"/>
        <w:docPartUnique/>
      </w:docPartObj>
    </w:sdtPr>
    <w:sdtContent>
      <w:p w:rsidR="00146903" w:rsidRDefault="00146903">
        <w:pPr>
          <w:pStyle w:val="Zpat"/>
        </w:pPr>
        <w:fldSimple w:instr=" PAGE   \* MERGEFORMAT ">
          <w:r w:rsidR="00444A40">
            <w:rPr>
              <w:noProof/>
            </w:rPr>
            <w:t>28</w:t>
          </w:r>
        </w:fldSimple>
      </w:p>
    </w:sdtContent>
  </w:sdt>
  <w:p w:rsidR="00146903" w:rsidRDefault="00146903">
    <w:pPr>
      <w:pStyle w:val="Zpa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5149088"/>
      <w:docPartObj>
        <w:docPartGallery w:val="Page Numbers (Bottom of Page)"/>
        <w:docPartUnique/>
      </w:docPartObj>
    </w:sdtPr>
    <w:sdtContent>
      <w:p w:rsidR="00146903" w:rsidRDefault="00146903">
        <w:pPr>
          <w:pStyle w:val="Zpat"/>
          <w:jc w:val="right"/>
        </w:pPr>
        <w:fldSimple w:instr=" PAGE   \* MERGEFORMAT ">
          <w:r w:rsidR="00444A40">
            <w:rPr>
              <w:noProof/>
            </w:rPr>
            <w:t>27</w:t>
          </w:r>
        </w:fldSimple>
      </w:p>
    </w:sdtContent>
  </w:sdt>
  <w:p w:rsidR="00146903" w:rsidRDefault="00146903">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1190" w:rsidRDefault="00081190" w:rsidP="003D7899">
      <w:r>
        <w:separator/>
      </w:r>
    </w:p>
  </w:footnote>
  <w:footnote w:type="continuationSeparator" w:id="0">
    <w:p w:rsidR="00081190" w:rsidRDefault="00081190" w:rsidP="003D7899">
      <w:r>
        <w:continuationSeparator/>
      </w:r>
    </w:p>
  </w:footnote>
  <w:footnote w:id="1">
    <w:p w:rsidR="00146903" w:rsidRPr="00B478FD" w:rsidRDefault="00146903" w:rsidP="00B478FD">
      <w:pPr>
        <w:pStyle w:val="Textpoznpodarou"/>
        <w:spacing w:line="276" w:lineRule="auto"/>
        <w:jc w:val="both"/>
        <w:rPr>
          <w:rFonts w:ascii="Times New Roman" w:hAnsi="Times New Roman" w:cs="Times New Roman"/>
        </w:rPr>
      </w:pPr>
      <w:r w:rsidRPr="00B478FD">
        <w:rPr>
          <w:rStyle w:val="Znakapoznpodarou"/>
          <w:rFonts w:ascii="Times New Roman" w:hAnsi="Times New Roman" w:cs="Times New Roman"/>
        </w:rPr>
        <w:footnoteRef/>
      </w:r>
      <w:r w:rsidRPr="00B478FD">
        <w:rPr>
          <w:rFonts w:ascii="Times New Roman" w:hAnsi="Times New Roman" w:cs="Times New Roman"/>
        </w:rPr>
        <w:t xml:space="preserve"> Komise pro cenné papíry a burzy v USA.</w:t>
      </w:r>
    </w:p>
  </w:footnote>
  <w:footnote w:id="2">
    <w:p w:rsidR="00146903" w:rsidRDefault="00146903" w:rsidP="00B478FD">
      <w:pPr>
        <w:pStyle w:val="Textpoznpodarou"/>
        <w:spacing w:line="276" w:lineRule="auto"/>
        <w:jc w:val="both"/>
      </w:pPr>
      <w:r w:rsidRPr="00B478FD">
        <w:rPr>
          <w:rStyle w:val="Znakapoznpodarou"/>
          <w:rFonts w:ascii="Times New Roman" w:hAnsi="Times New Roman" w:cs="Times New Roman"/>
        </w:rPr>
        <w:footnoteRef/>
      </w:r>
      <w:r w:rsidRPr="00B478FD">
        <w:rPr>
          <w:rFonts w:ascii="Times New Roman" w:hAnsi="Times New Roman" w:cs="Times New Roman"/>
        </w:rPr>
        <w:t xml:space="preserve"> </w:t>
      </w:r>
      <w:r>
        <w:rPr>
          <w:rFonts w:ascii="Times New Roman" w:hAnsi="Times New Roman" w:cs="Times New Roman"/>
        </w:rPr>
        <w:t xml:space="preserve">In: </w:t>
      </w:r>
      <w:r w:rsidRPr="00313B03">
        <w:rPr>
          <w:rFonts w:ascii="Times New Roman" w:hAnsi="Times New Roman" w:cs="Times New Roman"/>
        </w:rPr>
        <w:t xml:space="preserve">DVOŘÁK, Petr. </w:t>
      </w:r>
      <w:r w:rsidRPr="00313B03">
        <w:rPr>
          <w:rFonts w:ascii="Times New Roman" w:hAnsi="Times New Roman" w:cs="Times New Roman"/>
          <w:i/>
          <w:iCs/>
        </w:rPr>
        <w:t>Deriváty</w:t>
      </w:r>
      <w:r w:rsidRPr="00313B03">
        <w:rPr>
          <w:rFonts w:ascii="Times New Roman" w:hAnsi="Times New Roman" w:cs="Times New Roman"/>
        </w:rPr>
        <w:t>. Vyd. 2., přeprac. V Praze: Oeconomica, 2008, 297 s. ISBN 9788024514352. s.</w:t>
      </w:r>
      <w:r>
        <w:rPr>
          <w:rFonts w:ascii="Times New Roman" w:hAnsi="Times New Roman" w:cs="Times New Roman"/>
        </w:rPr>
        <w:t> 11</w:t>
      </w:r>
    </w:p>
  </w:footnote>
  <w:footnote w:id="3">
    <w:p w:rsidR="00146903" w:rsidRPr="00D873E7" w:rsidRDefault="00146903" w:rsidP="00D873E7">
      <w:pPr>
        <w:pStyle w:val="Textpoznpodarou"/>
        <w:spacing w:line="276" w:lineRule="auto"/>
        <w:jc w:val="both"/>
        <w:rPr>
          <w:rFonts w:ascii="Times New Roman" w:hAnsi="Times New Roman" w:cs="Times New Roman"/>
        </w:rPr>
      </w:pPr>
      <w:r w:rsidRPr="00D873E7">
        <w:rPr>
          <w:rStyle w:val="Znakapoznpodarou"/>
          <w:rFonts w:ascii="Times New Roman" w:hAnsi="Times New Roman" w:cs="Times New Roman"/>
        </w:rPr>
        <w:footnoteRef/>
      </w:r>
      <w:r w:rsidRPr="00D873E7">
        <w:rPr>
          <w:rFonts w:ascii="Times New Roman" w:hAnsi="Times New Roman" w:cs="Times New Roman"/>
        </w:rPr>
        <w:t xml:space="preserve"> Ani na promptních trzích nedochází k okamžitému vypořádání obchodů. Z technických důvodů i zde dochází k určité prodlevě, která bývá velmi často stanovena na T+3. To znamená, že ode dne sjednání obchodu „T“ dochází k vypořádání za 3 dny.</w:t>
      </w:r>
    </w:p>
  </w:footnote>
  <w:footnote w:id="4">
    <w:p w:rsidR="00146903" w:rsidRPr="00D873E7" w:rsidRDefault="00146903" w:rsidP="00D873E7">
      <w:pPr>
        <w:pStyle w:val="Textpoznpodarou"/>
        <w:spacing w:line="276" w:lineRule="auto"/>
        <w:jc w:val="both"/>
        <w:rPr>
          <w:rFonts w:ascii="Times New Roman" w:hAnsi="Times New Roman" w:cs="Times New Roman"/>
        </w:rPr>
      </w:pPr>
      <w:r w:rsidRPr="00D873E7">
        <w:rPr>
          <w:rStyle w:val="Znakapoznpodarou"/>
          <w:rFonts w:ascii="Times New Roman" w:hAnsi="Times New Roman" w:cs="Times New Roman"/>
        </w:rPr>
        <w:footnoteRef/>
      </w:r>
      <w:r w:rsidRPr="00D873E7">
        <w:rPr>
          <w:rFonts w:ascii="Times New Roman" w:hAnsi="Times New Roman" w:cs="Times New Roman"/>
        </w:rPr>
        <w:t xml:space="preserve"> DVOŘÁK, Petr. </w:t>
      </w:r>
      <w:r w:rsidRPr="00D873E7">
        <w:rPr>
          <w:rFonts w:ascii="Times New Roman" w:hAnsi="Times New Roman" w:cs="Times New Roman"/>
          <w:i/>
          <w:iCs/>
        </w:rPr>
        <w:t>Deriváty</w:t>
      </w:r>
      <w:r w:rsidRPr="00D873E7">
        <w:rPr>
          <w:rFonts w:ascii="Times New Roman" w:hAnsi="Times New Roman" w:cs="Times New Roman"/>
        </w:rPr>
        <w:t>. Vyd. 2., přeprac. V Praze: Oeconomica, 2008, 297 s. ISBN 9788024514352. s. 18</w:t>
      </w:r>
    </w:p>
  </w:footnote>
  <w:footnote w:id="5">
    <w:p w:rsidR="00146903" w:rsidRDefault="00146903" w:rsidP="00D873E7">
      <w:pPr>
        <w:pStyle w:val="Textpoznpodarou"/>
        <w:spacing w:line="276" w:lineRule="auto"/>
        <w:jc w:val="both"/>
      </w:pPr>
      <w:r w:rsidRPr="00D873E7">
        <w:rPr>
          <w:rStyle w:val="Znakapoznpodarou"/>
          <w:rFonts w:ascii="Times New Roman" w:hAnsi="Times New Roman" w:cs="Times New Roman"/>
        </w:rPr>
        <w:footnoteRef/>
      </w:r>
      <w:r w:rsidRPr="00D873E7">
        <w:rPr>
          <w:rFonts w:ascii="Times New Roman" w:hAnsi="Times New Roman" w:cs="Times New Roman"/>
        </w:rPr>
        <w:t xml:space="preserve"> DVOŘÁK, Petr. </w:t>
      </w:r>
      <w:r w:rsidRPr="00D873E7">
        <w:rPr>
          <w:rFonts w:ascii="Times New Roman" w:hAnsi="Times New Roman" w:cs="Times New Roman"/>
          <w:i/>
          <w:iCs/>
        </w:rPr>
        <w:t>Deriváty</w:t>
      </w:r>
      <w:r w:rsidRPr="00D873E7">
        <w:rPr>
          <w:rFonts w:ascii="Times New Roman" w:hAnsi="Times New Roman" w:cs="Times New Roman"/>
        </w:rPr>
        <w:t>. Vyd. 2., přeprac. V Praze: Oeconomica, 2008, 297 s. ISBN 9788024514352. s. 133</w:t>
      </w:r>
    </w:p>
  </w:footnote>
  <w:footnote w:id="6">
    <w:p w:rsidR="00146903" w:rsidRPr="00D26401" w:rsidRDefault="00146903" w:rsidP="00D26401">
      <w:pPr>
        <w:spacing w:line="276" w:lineRule="auto"/>
        <w:jc w:val="both"/>
        <w:rPr>
          <w:sz w:val="20"/>
          <w:szCs w:val="20"/>
          <w:lang w:eastAsia="cs-CZ"/>
        </w:rPr>
      </w:pPr>
      <w:r w:rsidRPr="00A966BE">
        <w:rPr>
          <w:rStyle w:val="Znakapoznpodarou"/>
          <w:sz w:val="20"/>
          <w:szCs w:val="20"/>
        </w:rPr>
        <w:footnoteRef/>
      </w:r>
      <w:r w:rsidRPr="00A966BE">
        <w:rPr>
          <w:sz w:val="20"/>
          <w:szCs w:val="20"/>
        </w:rPr>
        <w:t xml:space="preserve"> </w:t>
      </w:r>
      <w:r w:rsidRPr="00D26401">
        <w:rPr>
          <w:sz w:val="20"/>
          <w:szCs w:val="20"/>
          <w:lang w:eastAsia="cs-CZ"/>
        </w:rPr>
        <w:t xml:space="preserve">JÍLEK, Josef. </w:t>
      </w:r>
      <w:r w:rsidRPr="00D26401">
        <w:rPr>
          <w:i/>
          <w:iCs/>
          <w:sz w:val="20"/>
          <w:szCs w:val="20"/>
          <w:lang w:eastAsia="cs-CZ"/>
        </w:rPr>
        <w:t>Finanční a komoditní deriváty</w:t>
      </w:r>
      <w:r w:rsidRPr="00D26401">
        <w:rPr>
          <w:sz w:val="20"/>
          <w:szCs w:val="20"/>
          <w:lang w:eastAsia="cs-CZ"/>
        </w:rPr>
        <w:t>. 1. vyd. Praha: Grada, 2002, 624 s. ISBN 8024703424. s. 101</w:t>
      </w:r>
    </w:p>
  </w:footnote>
  <w:footnote w:id="7">
    <w:p w:rsidR="00146903" w:rsidRPr="00AE405D" w:rsidRDefault="00146903" w:rsidP="00AE405D">
      <w:pPr>
        <w:pStyle w:val="Textpoznpodarou"/>
        <w:spacing w:line="276" w:lineRule="auto"/>
        <w:jc w:val="both"/>
        <w:rPr>
          <w:rFonts w:ascii="Times New Roman" w:hAnsi="Times New Roman" w:cs="Times New Roman"/>
        </w:rPr>
      </w:pPr>
      <w:r w:rsidRPr="00EE58C8">
        <w:rPr>
          <w:rStyle w:val="Znakapoznpodarou"/>
          <w:rFonts w:ascii="Times New Roman" w:hAnsi="Times New Roman" w:cs="Times New Roman"/>
        </w:rPr>
        <w:footnoteRef/>
      </w:r>
      <w:r w:rsidRPr="00EE58C8">
        <w:rPr>
          <w:rFonts w:ascii="Times New Roman" w:hAnsi="Times New Roman" w:cs="Times New Roman"/>
        </w:rPr>
        <w:t xml:space="preserve"> </w:t>
      </w:r>
      <w:r w:rsidRPr="00AE405D">
        <w:rPr>
          <w:rFonts w:ascii="Times New Roman" w:hAnsi="Times New Roman" w:cs="Times New Roman"/>
          <w:lang w:eastAsia="cs-CZ"/>
        </w:rPr>
        <w:t xml:space="preserve">JÍLEK, Josef. </w:t>
      </w:r>
      <w:r w:rsidRPr="00AE405D">
        <w:rPr>
          <w:rFonts w:ascii="Times New Roman" w:hAnsi="Times New Roman" w:cs="Times New Roman"/>
          <w:i/>
          <w:iCs/>
          <w:lang w:eastAsia="cs-CZ"/>
        </w:rPr>
        <w:t>Finanční a komoditní deriváty</w:t>
      </w:r>
      <w:r w:rsidRPr="00AE405D">
        <w:rPr>
          <w:rFonts w:ascii="Times New Roman" w:hAnsi="Times New Roman" w:cs="Times New Roman"/>
          <w:lang w:eastAsia="cs-CZ"/>
        </w:rPr>
        <w:t>. 1. vyd. Praha: Grada, 2002, 624 s. ISBN 8024703424. s. 101</w:t>
      </w:r>
    </w:p>
  </w:footnote>
  <w:footnote w:id="8">
    <w:p w:rsidR="00146903" w:rsidRPr="00AE405D" w:rsidRDefault="00146903" w:rsidP="00AE405D">
      <w:pPr>
        <w:pStyle w:val="Textpoznpodarou"/>
        <w:spacing w:line="276" w:lineRule="auto"/>
        <w:jc w:val="both"/>
        <w:rPr>
          <w:rFonts w:ascii="Times New Roman" w:hAnsi="Times New Roman" w:cs="Times New Roman"/>
        </w:rPr>
      </w:pPr>
      <w:r w:rsidRPr="00AE405D">
        <w:rPr>
          <w:rStyle w:val="Znakapoznpodarou"/>
          <w:rFonts w:ascii="Times New Roman" w:hAnsi="Times New Roman" w:cs="Times New Roman"/>
        </w:rPr>
        <w:footnoteRef/>
      </w:r>
      <w:r w:rsidRPr="00AE405D">
        <w:rPr>
          <w:rFonts w:ascii="Times New Roman" w:hAnsi="Times New Roman" w:cs="Times New Roman"/>
        </w:rPr>
        <w:t xml:space="preserve"> </w:t>
      </w:r>
      <w:r w:rsidRPr="00AE405D">
        <w:rPr>
          <w:rFonts w:ascii="Times New Roman" w:hAnsi="Times New Roman" w:cs="Times New Roman"/>
          <w:lang w:eastAsia="cs-CZ"/>
        </w:rPr>
        <w:t xml:space="preserve">JÍLEK, Josef. </w:t>
      </w:r>
      <w:r w:rsidRPr="00AE405D">
        <w:rPr>
          <w:rFonts w:ascii="Times New Roman" w:hAnsi="Times New Roman" w:cs="Times New Roman"/>
          <w:i/>
          <w:iCs/>
          <w:lang w:eastAsia="cs-CZ"/>
        </w:rPr>
        <w:t>Finanční a komoditní deriváty</w:t>
      </w:r>
      <w:r w:rsidRPr="00AE405D">
        <w:rPr>
          <w:rFonts w:ascii="Times New Roman" w:hAnsi="Times New Roman" w:cs="Times New Roman"/>
          <w:lang w:eastAsia="cs-CZ"/>
        </w:rPr>
        <w:t>. 1. vyd. Praha: Grada, 2002, 624 s. ISBN 8024703424. s. 101, 102</w:t>
      </w:r>
    </w:p>
  </w:footnote>
  <w:footnote w:id="9">
    <w:p w:rsidR="00146903" w:rsidRPr="00AE405D" w:rsidRDefault="00146903" w:rsidP="004342F9">
      <w:pPr>
        <w:pStyle w:val="Textpoznpodarou"/>
        <w:spacing w:line="276" w:lineRule="auto"/>
        <w:jc w:val="both"/>
        <w:rPr>
          <w:rFonts w:ascii="Times New Roman" w:hAnsi="Times New Roman" w:cs="Times New Roman"/>
        </w:rPr>
      </w:pPr>
      <w:r w:rsidRPr="00AE405D">
        <w:rPr>
          <w:rStyle w:val="Znakapoznpodarou"/>
          <w:rFonts w:ascii="Times New Roman" w:hAnsi="Times New Roman" w:cs="Times New Roman"/>
        </w:rPr>
        <w:footnoteRef/>
      </w:r>
      <w:r w:rsidRPr="00AE405D">
        <w:rPr>
          <w:rFonts w:ascii="Times New Roman" w:hAnsi="Times New Roman" w:cs="Times New Roman"/>
        </w:rPr>
        <w:t xml:space="preserve"> STUPAVSKÝ, Michal. Začalo to obilím a zatím skončilo počasím. In: [online]. Penize.cz, 2007 [cit. 2013-04-16]. Dostupné na WWW: &lt;http://www.penize.cz/investice/19026-zacalo-to-obilim-a-zatim-skoncilo-pocasim&gt;</w:t>
      </w:r>
    </w:p>
  </w:footnote>
  <w:footnote w:id="10">
    <w:p w:rsidR="00146903" w:rsidRPr="00A966BE" w:rsidRDefault="00146903" w:rsidP="004342F9">
      <w:pPr>
        <w:pStyle w:val="Textpoznpodarou"/>
        <w:spacing w:line="276" w:lineRule="auto"/>
        <w:jc w:val="both"/>
        <w:rPr>
          <w:rFonts w:ascii="Times New Roman" w:hAnsi="Times New Roman" w:cs="Times New Roman"/>
        </w:rPr>
      </w:pPr>
      <w:r w:rsidRPr="00AE405D">
        <w:rPr>
          <w:rStyle w:val="Znakapoznpodarou"/>
          <w:rFonts w:ascii="Times New Roman" w:hAnsi="Times New Roman" w:cs="Times New Roman"/>
        </w:rPr>
        <w:footnoteRef/>
      </w:r>
      <w:r w:rsidRPr="00AE405D">
        <w:rPr>
          <w:rFonts w:ascii="Times New Roman" w:hAnsi="Times New Roman" w:cs="Times New Roman"/>
        </w:rPr>
        <w:t xml:space="preserve"> JÍLEK, Josef. </w:t>
      </w:r>
      <w:r w:rsidRPr="00AE405D">
        <w:rPr>
          <w:rFonts w:ascii="Times New Roman" w:hAnsi="Times New Roman" w:cs="Times New Roman"/>
          <w:i/>
          <w:iCs/>
        </w:rPr>
        <w:t>Finanční a komoditní deriváty v praxi</w:t>
      </w:r>
      <w:r w:rsidRPr="00AE405D">
        <w:rPr>
          <w:rFonts w:ascii="Times New Roman" w:hAnsi="Times New Roman" w:cs="Times New Roman"/>
        </w:rPr>
        <w:t>. 2. uprav. vyd. Praha: Grada, 2010, 630 s. ISBN 9788024736969. s. 322</w:t>
      </w:r>
    </w:p>
  </w:footnote>
  <w:footnote w:id="11">
    <w:p w:rsidR="00146903" w:rsidRPr="0003782A" w:rsidRDefault="00146903" w:rsidP="0003782A">
      <w:pPr>
        <w:spacing w:line="276" w:lineRule="auto"/>
        <w:jc w:val="both"/>
        <w:rPr>
          <w:sz w:val="20"/>
          <w:szCs w:val="20"/>
          <w:lang w:eastAsia="cs-CZ"/>
        </w:rPr>
      </w:pPr>
      <w:r w:rsidRPr="0003782A">
        <w:rPr>
          <w:rStyle w:val="Znakapoznpodarou"/>
          <w:sz w:val="20"/>
          <w:szCs w:val="20"/>
        </w:rPr>
        <w:footnoteRef/>
      </w:r>
      <w:r w:rsidRPr="0003782A">
        <w:rPr>
          <w:sz w:val="20"/>
          <w:szCs w:val="20"/>
        </w:rPr>
        <w:t xml:space="preserve"> </w:t>
      </w:r>
      <w:r w:rsidRPr="0003782A">
        <w:rPr>
          <w:sz w:val="20"/>
          <w:szCs w:val="20"/>
          <w:lang w:eastAsia="cs-CZ"/>
        </w:rPr>
        <w:t xml:space="preserve">ZÁŠKODNÝ, Přemysl, Vladislav PAVLÁT a Josef BUDÍK. </w:t>
      </w:r>
      <w:r w:rsidRPr="0003782A">
        <w:rPr>
          <w:i/>
          <w:iCs/>
          <w:sz w:val="20"/>
          <w:szCs w:val="20"/>
          <w:lang w:eastAsia="cs-CZ"/>
        </w:rPr>
        <w:t>Finanční deriváty a jejich oceňování</w:t>
      </w:r>
      <w:r w:rsidRPr="0003782A">
        <w:rPr>
          <w:sz w:val="20"/>
          <w:szCs w:val="20"/>
          <w:lang w:eastAsia="cs-CZ"/>
        </w:rPr>
        <w:t>. 1. vyd. Praha: Vysoká škola finanční a správní, 2007, 161 s. ISBN 9788086754734. s. 16</w:t>
      </w:r>
    </w:p>
  </w:footnote>
  <w:footnote w:id="12">
    <w:p w:rsidR="00146903" w:rsidRPr="0003782A" w:rsidRDefault="00146903" w:rsidP="0003782A">
      <w:pPr>
        <w:spacing w:line="276" w:lineRule="auto"/>
        <w:jc w:val="both"/>
        <w:rPr>
          <w:sz w:val="20"/>
          <w:szCs w:val="20"/>
          <w:lang w:eastAsia="cs-CZ"/>
        </w:rPr>
      </w:pPr>
      <w:r w:rsidRPr="0003782A">
        <w:rPr>
          <w:rStyle w:val="Znakapoznpodarou"/>
          <w:sz w:val="20"/>
          <w:szCs w:val="20"/>
        </w:rPr>
        <w:footnoteRef/>
      </w:r>
      <w:r w:rsidRPr="0003782A">
        <w:rPr>
          <w:sz w:val="20"/>
          <w:szCs w:val="20"/>
        </w:rPr>
        <w:t xml:space="preserve"> </w:t>
      </w:r>
      <w:r w:rsidRPr="0003782A">
        <w:rPr>
          <w:sz w:val="20"/>
          <w:szCs w:val="20"/>
          <w:lang w:eastAsia="cs-CZ"/>
        </w:rPr>
        <w:t xml:space="preserve">ZÁŠKODNÝ, Přemysl, Vladislav PAVLÁT a Josef BUDÍK. </w:t>
      </w:r>
      <w:r w:rsidRPr="0003782A">
        <w:rPr>
          <w:i/>
          <w:iCs/>
          <w:sz w:val="20"/>
          <w:szCs w:val="20"/>
          <w:lang w:eastAsia="cs-CZ"/>
        </w:rPr>
        <w:t>Finanční deriváty a jejich oceňování</w:t>
      </w:r>
      <w:r w:rsidRPr="0003782A">
        <w:rPr>
          <w:sz w:val="20"/>
          <w:szCs w:val="20"/>
          <w:lang w:eastAsia="cs-CZ"/>
        </w:rPr>
        <w:t>. 1. vyd. Praha: Vysoká škola finanční a správní, 2007, 161 s. ISBN 9788086754734. s. 15</w:t>
      </w:r>
    </w:p>
  </w:footnote>
  <w:footnote w:id="13">
    <w:p w:rsidR="00146903" w:rsidRPr="0003782A" w:rsidRDefault="00146903" w:rsidP="0003782A">
      <w:pPr>
        <w:pStyle w:val="Textpoznpodarou"/>
        <w:spacing w:line="276" w:lineRule="auto"/>
        <w:jc w:val="both"/>
        <w:rPr>
          <w:rFonts w:ascii="Times New Roman" w:hAnsi="Times New Roman" w:cs="Times New Roman"/>
        </w:rPr>
      </w:pPr>
      <w:r w:rsidRPr="0003782A">
        <w:rPr>
          <w:rStyle w:val="Znakapoznpodarou"/>
          <w:rFonts w:ascii="Times New Roman" w:hAnsi="Times New Roman" w:cs="Times New Roman"/>
        </w:rPr>
        <w:footnoteRef/>
      </w:r>
      <w:r w:rsidRPr="0003782A">
        <w:rPr>
          <w:rFonts w:ascii="Times New Roman" w:hAnsi="Times New Roman" w:cs="Times New Roman"/>
        </w:rPr>
        <w:t xml:space="preserve"> DVOŘÁK, Petr. </w:t>
      </w:r>
      <w:r w:rsidRPr="0003782A">
        <w:rPr>
          <w:rFonts w:ascii="Times New Roman" w:hAnsi="Times New Roman" w:cs="Times New Roman"/>
          <w:i/>
          <w:iCs/>
        </w:rPr>
        <w:t>Deriváty</w:t>
      </w:r>
      <w:r w:rsidRPr="0003782A">
        <w:rPr>
          <w:rFonts w:ascii="Times New Roman" w:hAnsi="Times New Roman" w:cs="Times New Roman"/>
        </w:rPr>
        <w:t>. Vyd. 2., přeprac. V Praze: Oeconomica, 2008, 297 s. ISBN 9788024514352. s. 38</w:t>
      </w:r>
    </w:p>
  </w:footnote>
  <w:footnote w:id="14">
    <w:p w:rsidR="00146903" w:rsidRPr="00E860EA" w:rsidRDefault="00146903" w:rsidP="0003782A">
      <w:pPr>
        <w:pStyle w:val="Textpoznpodarou"/>
        <w:spacing w:line="276" w:lineRule="auto"/>
        <w:jc w:val="both"/>
        <w:rPr>
          <w:rFonts w:ascii="Times New Roman" w:hAnsi="Times New Roman" w:cs="Times New Roman"/>
        </w:rPr>
      </w:pPr>
      <w:r w:rsidRPr="0003782A">
        <w:rPr>
          <w:rStyle w:val="Znakapoznpodarou"/>
          <w:rFonts w:ascii="Times New Roman" w:hAnsi="Times New Roman" w:cs="Times New Roman"/>
        </w:rPr>
        <w:footnoteRef/>
      </w:r>
      <w:r w:rsidRPr="0003782A">
        <w:rPr>
          <w:rFonts w:ascii="Times New Roman" w:hAnsi="Times New Roman" w:cs="Times New Roman"/>
        </w:rPr>
        <w:t xml:space="preserve"> DVOŘÁK, Petr. </w:t>
      </w:r>
      <w:r w:rsidRPr="0003782A">
        <w:rPr>
          <w:rFonts w:ascii="Times New Roman" w:hAnsi="Times New Roman" w:cs="Times New Roman"/>
          <w:i/>
          <w:iCs/>
        </w:rPr>
        <w:t>Deriváty</w:t>
      </w:r>
      <w:r w:rsidRPr="00E860EA">
        <w:rPr>
          <w:rFonts w:ascii="Times New Roman" w:hAnsi="Times New Roman" w:cs="Times New Roman"/>
        </w:rPr>
        <w:t>. Vyd. 2., přeprac. V Praze: Oeconomica, 2008, 297 s. ISBN 9788024514352. s. 38</w:t>
      </w:r>
    </w:p>
  </w:footnote>
  <w:footnote w:id="15">
    <w:p w:rsidR="00146903" w:rsidRPr="006B1795" w:rsidRDefault="00146903" w:rsidP="007A3165">
      <w:pPr>
        <w:pStyle w:val="Textpoznpodarou"/>
        <w:spacing w:line="276" w:lineRule="auto"/>
        <w:jc w:val="both"/>
        <w:rPr>
          <w:rFonts w:ascii="Times New Roman" w:hAnsi="Times New Roman" w:cs="Times New Roman"/>
        </w:rPr>
      </w:pPr>
      <w:r w:rsidRPr="006B1795">
        <w:rPr>
          <w:rStyle w:val="Znakapoznpodarou"/>
          <w:rFonts w:ascii="Times New Roman" w:hAnsi="Times New Roman" w:cs="Times New Roman"/>
        </w:rPr>
        <w:footnoteRef/>
      </w:r>
      <w:r w:rsidRPr="006B1795">
        <w:rPr>
          <w:rFonts w:ascii="Times New Roman" w:hAnsi="Times New Roman" w:cs="Times New Roman"/>
        </w:rPr>
        <w:t xml:space="preserve"> MUSÍLEK, Petr. </w:t>
      </w:r>
      <w:r w:rsidRPr="006B1795">
        <w:rPr>
          <w:rFonts w:ascii="Times New Roman" w:hAnsi="Times New Roman" w:cs="Times New Roman"/>
          <w:i/>
          <w:iCs/>
        </w:rPr>
        <w:t>Trhy cenných papírů</w:t>
      </w:r>
      <w:r w:rsidRPr="006B1795">
        <w:rPr>
          <w:rFonts w:ascii="Times New Roman" w:hAnsi="Times New Roman" w:cs="Times New Roman"/>
        </w:rPr>
        <w:t>. 2., aktualiz a rozš. vyd. Praha: Ekopress, 2011, 520 s. ISBN 9788086929705. s. 80</w:t>
      </w:r>
    </w:p>
  </w:footnote>
  <w:footnote w:id="16">
    <w:p w:rsidR="00146903" w:rsidRPr="00E860EA" w:rsidRDefault="00146903" w:rsidP="007A3165">
      <w:pPr>
        <w:pStyle w:val="Textpoznpodarou"/>
        <w:spacing w:line="276" w:lineRule="auto"/>
        <w:jc w:val="both"/>
        <w:rPr>
          <w:rFonts w:ascii="Times New Roman" w:hAnsi="Times New Roman" w:cs="Times New Roman"/>
        </w:rPr>
      </w:pPr>
      <w:r w:rsidRPr="00E860EA">
        <w:rPr>
          <w:rStyle w:val="Znakapoznpodarou"/>
          <w:rFonts w:ascii="Times New Roman" w:hAnsi="Times New Roman" w:cs="Times New Roman"/>
        </w:rPr>
        <w:footnoteRef/>
      </w:r>
      <w:r w:rsidRPr="00E860EA">
        <w:rPr>
          <w:rFonts w:ascii="Times New Roman" w:hAnsi="Times New Roman" w:cs="Times New Roman"/>
        </w:rPr>
        <w:t xml:space="preserve"> V češtině se tento výraz předkládá jako obchody „přes přepážku“.</w:t>
      </w:r>
    </w:p>
  </w:footnote>
  <w:footnote w:id="17">
    <w:p w:rsidR="00146903" w:rsidRPr="00E860EA" w:rsidRDefault="00146903" w:rsidP="007A3165">
      <w:pPr>
        <w:pStyle w:val="Textpoznpodarou"/>
        <w:spacing w:line="276" w:lineRule="auto"/>
        <w:jc w:val="both"/>
        <w:rPr>
          <w:rFonts w:ascii="Times New Roman" w:hAnsi="Times New Roman" w:cs="Times New Roman"/>
        </w:rPr>
      </w:pPr>
      <w:r w:rsidRPr="00E860EA">
        <w:rPr>
          <w:rStyle w:val="Znakapoznpodarou"/>
          <w:rFonts w:ascii="Times New Roman" w:hAnsi="Times New Roman" w:cs="Times New Roman"/>
        </w:rPr>
        <w:footnoteRef/>
      </w:r>
      <w:r w:rsidRPr="00E860EA">
        <w:rPr>
          <w:rFonts w:ascii="Times New Roman" w:hAnsi="Times New Roman" w:cs="Times New Roman"/>
        </w:rPr>
        <w:t xml:space="preserve"> </w:t>
      </w:r>
      <w:r>
        <w:rPr>
          <w:rFonts w:ascii="Times New Roman" w:hAnsi="Times New Roman" w:cs="Times New Roman"/>
        </w:rPr>
        <w:t xml:space="preserve">KLEČKA, Ondřej. </w:t>
      </w:r>
      <w:r>
        <w:rPr>
          <w:rFonts w:ascii="Times New Roman" w:hAnsi="Times New Roman" w:cs="Times New Roman"/>
          <w:i/>
        </w:rPr>
        <w:t xml:space="preserve">Investujeme.cz </w:t>
      </w:r>
      <w:r>
        <w:rPr>
          <w:rFonts w:ascii="Times New Roman" w:hAnsi="Times New Roman" w:cs="Times New Roman"/>
        </w:rPr>
        <w:t>[online]. 2010 [cit. 2013-02-15]. Dostupné na WWW: &lt;</w:t>
      </w:r>
      <w:r w:rsidRPr="00E860EA">
        <w:rPr>
          <w:rFonts w:ascii="Times New Roman" w:hAnsi="Times New Roman" w:cs="Times New Roman"/>
        </w:rPr>
        <w:t>http://www.investujeme.cz/financni-derivaty-kam-speji/</w:t>
      </w:r>
      <w:r>
        <w:rPr>
          <w:rFonts w:ascii="Times New Roman" w:hAnsi="Times New Roman" w:cs="Times New Roman"/>
        </w:rPr>
        <w:t>&gt;</w:t>
      </w:r>
    </w:p>
  </w:footnote>
  <w:footnote w:id="18">
    <w:p w:rsidR="00146903" w:rsidRPr="00EE01B4" w:rsidRDefault="00146903" w:rsidP="00EE01B4">
      <w:pPr>
        <w:spacing w:line="276" w:lineRule="auto"/>
        <w:jc w:val="both"/>
        <w:rPr>
          <w:sz w:val="20"/>
          <w:szCs w:val="20"/>
          <w:lang w:eastAsia="cs-CZ"/>
        </w:rPr>
      </w:pPr>
      <w:r w:rsidRPr="00EE01B4">
        <w:rPr>
          <w:rStyle w:val="Znakapoznpodarou"/>
          <w:sz w:val="20"/>
          <w:szCs w:val="20"/>
        </w:rPr>
        <w:footnoteRef/>
      </w:r>
      <w:r w:rsidRPr="00EE01B4">
        <w:rPr>
          <w:sz w:val="20"/>
          <w:szCs w:val="20"/>
        </w:rPr>
        <w:t xml:space="preserve"> </w:t>
      </w:r>
      <w:r>
        <w:rPr>
          <w:sz w:val="20"/>
          <w:szCs w:val="20"/>
        </w:rPr>
        <w:t xml:space="preserve">BURZA CENNÝCH PAPÍRŮ PRAHA, a.s.: Ukončení obchodování futures na BCPP. </w:t>
      </w:r>
      <w:r w:rsidRPr="00EE01B4">
        <w:rPr>
          <w:i/>
          <w:iCs/>
          <w:sz w:val="20"/>
          <w:szCs w:val="20"/>
          <w:lang w:eastAsia="cs-CZ"/>
        </w:rPr>
        <w:t>Burza cenných papírů Praha</w:t>
      </w:r>
      <w:r w:rsidRPr="00EE01B4">
        <w:rPr>
          <w:sz w:val="20"/>
          <w:szCs w:val="20"/>
          <w:lang w:eastAsia="cs-CZ"/>
        </w:rPr>
        <w:t xml:space="preserve"> [online]. 2012 [cit. 2013-03-03]. Dostupné na WWW: &lt;http://www.bcpp.cz/Novinky/Detail.aspx?ka=2695 &gt;</w:t>
      </w:r>
    </w:p>
  </w:footnote>
  <w:footnote w:id="19">
    <w:p w:rsidR="00BF382B" w:rsidRPr="004A42C4" w:rsidRDefault="00BF382B" w:rsidP="004A42C4">
      <w:pPr>
        <w:spacing w:line="276" w:lineRule="auto"/>
        <w:jc w:val="both"/>
        <w:rPr>
          <w:sz w:val="20"/>
          <w:szCs w:val="20"/>
          <w:lang w:eastAsia="cs-CZ"/>
        </w:rPr>
      </w:pPr>
      <w:r w:rsidRPr="004A42C4">
        <w:rPr>
          <w:rStyle w:val="Znakapoznpodarou"/>
          <w:sz w:val="20"/>
          <w:szCs w:val="20"/>
        </w:rPr>
        <w:footnoteRef/>
      </w:r>
      <w:r w:rsidRPr="004A42C4">
        <w:rPr>
          <w:sz w:val="20"/>
          <w:szCs w:val="20"/>
        </w:rPr>
        <w:t xml:space="preserve"> </w:t>
      </w:r>
      <w:r w:rsidR="004A42C4" w:rsidRPr="004A42C4">
        <w:rPr>
          <w:sz w:val="20"/>
          <w:szCs w:val="20"/>
          <w:lang w:eastAsia="cs-CZ"/>
        </w:rPr>
        <w:t xml:space="preserve">KOHN, Meir. </w:t>
      </w:r>
      <w:r w:rsidR="004A42C4" w:rsidRPr="004A42C4">
        <w:rPr>
          <w:i/>
          <w:iCs/>
          <w:sz w:val="20"/>
          <w:szCs w:val="20"/>
          <w:lang w:eastAsia="cs-CZ"/>
        </w:rPr>
        <w:t>Financial institutions and markets</w:t>
      </w:r>
      <w:r w:rsidR="004A42C4" w:rsidRPr="004A42C4">
        <w:rPr>
          <w:sz w:val="20"/>
          <w:szCs w:val="20"/>
          <w:lang w:eastAsia="cs-CZ"/>
        </w:rPr>
        <w:t>. 2nd ed. New York: Oxford University Press, 2004, xxx, 674 s. ISBN 0195134729. s. 497</w:t>
      </w:r>
    </w:p>
  </w:footnote>
  <w:footnote w:id="20">
    <w:p w:rsidR="00146903" w:rsidRPr="004A42C4" w:rsidRDefault="00146903" w:rsidP="004A42C4">
      <w:pPr>
        <w:pStyle w:val="Textpoznpodarou"/>
        <w:spacing w:line="276" w:lineRule="auto"/>
        <w:jc w:val="both"/>
        <w:rPr>
          <w:rFonts w:ascii="Times New Roman" w:hAnsi="Times New Roman" w:cs="Times New Roman"/>
        </w:rPr>
      </w:pPr>
      <w:r w:rsidRPr="004A42C4">
        <w:rPr>
          <w:rStyle w:val="Znakapoznpodarou"/>
          <w:rFonts w:ascii="Times New Roman" w:hAnsi="Times New Roman" w:cs="Times New Roman"/>
        </w:rPr>
        <w:footnoteRef/>
      </w:r>
      <w:r w:rsidRPr="004A42C4">
        <w:rPr>
          <w:rFonts w:ascii="Times New Roman" w:hAnsi="Times New Roman" w:cs="Times New Roman"/>
        </w:rPr>
        <w:t xml:space="preserve"> DVOŘÁK, Petr. </w:t>
      </w:r>
      <w:r w:rsidRPr="004A42C4">
        <w:rPr>
          <w:rFonts w:ascii="Times New Roman" w:hAnsi="Times New Roman" w:cs="Times New Roman"/>
          <w:i/>
          <w:iCs/>
        </w:rPr>
        <w:t>Deriváty</w:t>
      </w:r>
      <w:r w:rsidRPr="004A42C4">
        <w:rPr>
          <w:rFonts w:ascii="Times New Roman" w:hAnsi="Times New Roman" w:cs="Times New Roman"/>
        </w:rPr>
        <w:t>. Vyd. 2., přeprac. V Praze: Oeconomica, 2008, 297 s. ISBN 9788024514352. s. 34</w:t>
      </w:r>
    </w:p>
  </w:footnote>
  <w:footnote w:id="21">
    <w:p w:rsidR="00146903" w:rsidRPr="004A42C4" w:rsidRDefault="00146903" w:rsidP="004A42C4">
      <w:pPr>
        <w:spacing w:line="276" w:lineRule="auto"/>
        <w:jc w:val="both"/>
        <w:rPr>
          <w:sz w:val="20"/>
          <w:szCs w:val="20"/>
          <w:lang w:eastAsia="cs-CZ"/>
        </w:rPr>
      </w:pPr>
      <w:r w:rsidRPr="004A42C4">
        <w:rPr>
          <w:rStyle w:val="Znakapoznpodarou"/>
          <w:sz w:val="20"/>
          <w:szCs w:val="20"/>
        </w:rPr>
        <w:footnoteRef/>
      </w:r>
      <w:r w:rsidRPr="004A42C4">
        <w:rPr>
          <w:sz w:val="20"/>
          <w:szCs w:val="20"/>
        </w:rPr>
        <w:t xml:space="preserve"> </w:t>
      </w:r>
      <w:r w:rsidRPr="004A42C4">
        <w:rPr>
          <w:sz w:val="20"/>
          <w:szCs w:val="20"/>
          <w:lang w:eastAsia="cs-CZ"/>
        </w:rPr>
        <w:t xml:space="preserve">JÍLEK, Josef. </w:t>
      </w:r>
      <w:r w:rsidRPr="004A42C4">
        <w:rPr>
          <w:i/>
          <w:iCs/>
          <w:sz w:val="20"/>
          <w:szCs w:val="20"/>
          <w:lang w:eastAsia="cs-CZ"/>
        </w:rPr>
        <w:t>Finanční rizika</w:t>
      </w:r>
      <w:r w:rsidRPr="004A42C4">
        <w:rPr>
          <w:sz w:val="20"/>
          <w:szCs w:val="20"/>
          <w:lang w:eastAsia="cs-CZ"/>
        </w:rPr>
        <w:t>. 1. vyd. Praha: Grada, 2000, 635 s. ISBN 80-716-9579-3. s. 78</w:t>
      </w:r>
    </w:p>
  </w:footnote>
  <w:footnote w:id="22">
    <w:p w:rsidR="00146903" w:rsidRPr="00FE13C9" w:rsidRDefault="00146903" w:rsidP="004A42C4">
      <w:pPr>
        <w:spacing w:line="276" w:lineRule="auto"/>
        <w:jc w:val="both"/>
        <w:rPr>
          <w:sz w:val="20"/>
          <w:szCs w:val="20"/>
          <w:lang w:eastAsia="cs-CZ"/>
        </w:rPr>
      </w:pPr>
      <w:r w:rsidRPr="004A42C4">
        <w:rPr>
          <w:rStyle w:val="Znakapoznpodarou"/>
          <w:sz w:val="20"/>
          <w:szCs w:val="20"/>
        </w:rPr>
        <w:footnoteRef/>
      </w:r>
      <w:r w:rsidRPr="004A42C4">
        <w:rPr>
          <w:sz w:val="20"/>
          <w:szCs w:val="20"/>
        </w:rPr>
        <w:t xml:space="preserve"> </w:t>
      </w:r>
      <w:r w:rsidRPr="004A42C4">
        <w:rPr>
          <w:sz w:val="20"/>
          <w:szCs w:val="20"/>
          <w:lang w:eastAsia="cs-CZ"/>
        </w:rPr>
        <w:t xml:space="preserve">VLACHÝ, Jan. </w:t>
      </w:r>
      <w:r w:rsidRPr="004A42C4">
        <w:rPr>
          <w:i/>
          <w:iCs/>
          <w:sz w:val="20"/>
          <w:szCs w:val="20"/>
          <w:lang w:eastAsia="cs-CZ"/>
        </w:rPr>
        <w:t>Řízení finančních rizik</w:t>
      </w:r>
      <w:r w:rsidRPr="004A42C4">
        <w:rPr>
          <w:sz w:val="20"/>
          <w:szCs w:val="20"/>
          <w:lang w:eastAsia="cs-CZ"/>
        </w:rPr>
        <w:t>. Praha: Vysoká škola finanční a správní, 2006, 256 s. ISBN 8086754561. s. 60</w:t>
      </w:r>
    </w:p>
  </w:footnote>
  <w:footnote w:id="23">
    <w:p w:rsidR="00146903" w:rsidRPr="00FA7439" w:rsidRDefault="00146903" w:rsidP="00FE13C9">
      <w:pPr>
        <w:pStyle w:val="Textpoznpodarou"/>
        <w:spacing w:line="276" w:lineRule="auto"/>
        <w:jc w:val="both"/>
        <w:rPr>
          <w:rFonts w:ascii="Times New Roman" w:hAnsi="Times New Roman" w:cs="Times New Roman"/>
        </w:rPr>
      </w:pPr>
      <w:r w:rsidRPr="00FA7439">
        <w:rPr>
          <w:rStyle w:val="Znakapoznpodarou"/>
          <w:rFonts w:ascii="Times New Roman" w:hAnsi="Times New Roman" w:cs="Times New Roman"/>
        </w:rPr>
        <w:footnoteRef/>
      </w:r>
      <w:r w:rsidRPr="00FA7439">
        <w:rPr>
          <w:rFonts w:ascii="Times New Roman" w:hAnsi="Times New Roman" w:cs="Times New Roman"/>
        </w:rPr>
        <w:t xml:space="preserve"> </w:t>
      </w:r>
      <w:r w:rsidRPr="00FA7439">
        <w:rPr>
          <w:rFonts w:ascii="Times New Roman" w:hAnsi="Times New Roman" w:cs="Times New Roman"/>
          <w:iCs/>
        </w:rPr>
        <w:t>BANK FOR INTERNATIONAL SETTLEMENTS: BIS Quarterly Review, December 2012.</w:t>
      </w:r>
      <w:r w:rsidRPr="00FA7439">
        <w:rPr>
          <w:rFonts w:ascii="Times New Roman" w:hAnsi="Times New Roman" w:cs="Times New Roman"/>
          <w:i/>
          <w:iCs/>
        </w:rPr>
        <w:t xml:space="preserve"> Bank for International Settlements </w:t>
      </w:r>
      <w:r w:rsidRPr="00FA7439">
        <w:rPr>
          <w:rFonts w:ascii="Times New Roman" w:hAnsi="Times New Roman" w:cs="Times New Roman"/>
        </w:rPr>
        <w:t>[online]. 2012 [cit. 2013-01-26]. Dostupné na WWW: &lt;http://www.bis.org/publ/qtrpdf/r_qa1212.pdf&gt;</w:t>
      </w:r>
    </w:p>
  </w:footnote>
  <w:footnote w:id="24">
    <w:p w:rsidR="00146903" w:rsidRPr="00FE13C9" w:rsidRDefault="00146903" w:rsidP="00FE13C9">
      <w:pPr>
        <w:pStyle w:val="Textpoznpodarou"/>
        <w:spacing w:line="276" w:lineRule="auto"/>
        <w:jc w:val="both"/>
        <w:rPr>
          <w:rFonts w:ascii="Times New Roman" w:hAnsi="Times New Roman" w:cs="Times New Roman"/>
        </w:rPr>
      </w:pPr>
      <w:r w:rsidRPr="00FE13C9">
        <w:rPr>
          <w:rStyle w:val="Znakapoznpodarou"/>
          <w:rFonts w:ascii="Times New Roman" w:hAnsi="Times New Roman" w:cs="Times New Roman"/>
        </w:rPr>
        <w:footnoteRef/>
      </w:r>
      <w:r w:rsidRPr="00FE13C9">
        <w:rPr>
          <w:rFonts w:ascii="Times New Roman" w:hAnsi="Times New Roman" w:cs="Times New Roman"/>
        </w:rPr>
        <w:t xml:space="preserve"> DVOŘÁK, Petr. </w:t>
      </w:r>
      <w:r w:rsidRPr="00FE13C9">
        <w:rPr>
          <w:rFonts w:ascii="Times New Roman" w:hAnsi="Times New Roman" w:cs="Times New Roman"/>
          <w:i/>
          <w:iCs/>
        </w:rPr>
        <w:t>Deriváty</w:t>
      </w:r>
      <w:r w:rsidRPr="00FE13C9">
        <w:rPr>
          <w:rFonts w:ascii="Times New Roman" w:hAnsi="Times New Roman" w:cs="Times New Roman"/>
        </w:rPr>
        <w:t>. Vyd. 2., přeprac. V Praze: Oeconomica, 2008, 297 s. ISBN 9788024514352. s. 34</w:t>
      </w:r>
    </w:p>
  </w:footnote>
  <w:footnote w:id="25">
    <w:p w:rsidR="00146903" w:rsidRPr="00890668" w:rsidRDefault="00146903" w:rsidP="00FE13C9">
      <w:pPr>
        <w:pStyle w:val="Textpoznpodarou"/>
        <w:spacing w:line="276" w:lineRule="auto"/>
        <w:jc w:val="both"/>
        <w:rPr>
          <w:rFonts w:ascii="Times New Roman" w:hAnsi="Times New Roman" w:cs="Times New Roman"/>
        </w:rPr>
      </w:pPr>
      <w:r w:rsidRPr="00FE13C9">
        <w:rPr>
          <w:rStyle w:val="Znakapoznpodarou"/>
          <w:rFonts w:ascii="Times New Roman" w:hAnsi="Times New Roman" w:cs="Times New Roman"/>
        </w:rPr>
        <w:footnoteRef/>
      </w:r>
      <w:r w:rsidRPr="00FE13C9">
        <w:rPr>
          <w:rFonts w:ascii="Times New Roman" w:hAnsi="Times New Roman" w:cs="Times New Roman"/>
        </w:rPr>
        <w:t xml:space="preserve"> Deriváty na počasí jako svůj základ využívají index počtu teplých nebo chladných dnů. Nejčastějšími obchodujícími </w:t>
      </w:r>
      <w:r>
        <w:rPr>
          <w:rFonts w:ascii="Times New Roman" w:hAnsi="Times New Roman" w:cs="Times New Roman"/>
        </w:rPr>
        <w:t>s deriváty na počasí jsou např.</w:t>
      </w:r>
      <w:r w:rsidRPr="00FE13C9">
        <w:rPr>
          <w:rFonts w:ascii="Times New Roman" w:hAnsi="Times New Roman" w:cs="Times New Roman"/>
        </w:rPr>
        <w:t xml:space="preserve"> energetické společnosti nebo zemědělci, kteří se zajišťují před</w:t>
      </w:r>
      <w:r>
        <w:rPr>
          <w:rFonts w:ascii="Times New Roman" w:hAnsi="Times New Roman" w:cs="Times New Roman"/>
        </w:rPr>
        <w:t> </w:t>
      </w:r>
      <w:r w:rsidRPr="004640D5">
        <w:rPr>
          <w:rFonts w:ascii="Times New Roman" w:hAnsi="Times New Roman" w:cs="Times New Roman"/>
        </w:rPr>
        <w:t>suchem či mrazy a následnou menší sklizní. S deriváty na počasí se obchoduje například na burze Chicago Mercantile Exchange.</w:t>
      </w:r>
    </w:p>
  </w:footnote>
  <w:footnote w:id="26">
    <w:p w:rsidR="00146903" w:rsidRPr="00526C59" w:rsidRDefault="00146903" w:rsidP="00526C59">
      <w:pPr>
        <w:spacing w:line="276" w:lineRule="auto"/>
        <w:jc w:val="both"/>
        <w:rPr>
          <w:sz w:val="20"/>
          <w:szCs w:val="20"/>
          <w:lang w:eastAsia="cs-CZ"/>
        </w:rPr>
      </w:pPr>
      <w:r w:rsidRPr="00526C59">
        <w:rPr>
          <w:rStyle w:val="Znakapoznpodarou"/>
          <w:sz w:val="20"/>
          <w:szCs w:val="20"/>
        </w:rPr>
        <w:footnoteRef/>
      </w:r>
      <w:r w:rsidRPr="00526C59">
        <w:rPr>
          <w:sz w:val="20"/>
          <w:szCs w:val="20"/>
        </w:rPr>
        <w:t xml:space="preserve"> </w:t>
      </w:r>
      <w:r w:rsidRPr="00526C59">
        <w:rPr>
          <w:sz w:val="20"/>
          <w:szCs w:val="20"/>
          <w:lang w:eastAsia="cs-CZ"/>
        </w:rPr>
        <w:t xml:space="preserve">VLACHÝ, Jan. </w:t>
      </w:r>
      <w:r w:rsidRPr="00526C59">
        <w:rPr>
          <w:i/>
          <w:iCs/>
          <w:sz w:val="20"/>
          <w:szCs w:val="20"/>
          <w:lang w:eastAsia="cs-CZ"/>
        </w:rPr>
        <w:t>Řízení finančních rizik</w:t>
      </w:r>
      <w:r w:rsidRPr="00526C59">
        <w:rPr>
          <w:sz w:val="20"/>
          <w:szCs w:val="20"/>
          <w:lang w:eastAsia="cs-CZ"/>
        </w:rPr>
        <w:t>. Praha: Vysoká škola finanční a správní, 2006, 256 s. ISBN 8086754561. s. 97</w:t>
      </w:r>
    </w:p>
  </w:footnote>
  <w:footnote w:id="27">
    <w:p w:rsidR="00146903" w:rsidRPr="00447807" w:rsidRDefault="00146903" w:rsidP="00447807">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JÍLEK, Josef. </w:t>
      </w:r>
      <w:r w:rsidRPr="00447807">
        <w:rPr>
          <w:rFonts w:ascii="Times New Roman" w:hAnsi="Times New Roman" w:cs="Times New Roman"/>
          <w:i/>
          <w:iCs/>
        </w:rPr>
        <w:t>Termínové a opční obchody</w:t>
      </w:r>
      <w:r w:rsidRPr="00447807">
        <w:rPr>
          <w:rFonts w:ascii="Times New Roman" w:hAnsi="Times New Roman" w:cs="Times New Roman"/>
        </w:rPr>
        <w:t>. Vyd. 1. Praha: Grada, 1995, 286 s. ISBN 8071691836. s. 149</w:t>
      </w:r>
    </w:p>
  </w:footnote>
  <w:footnote w:id="28">
    <w:p w:rsidR="00146903" w:rsidRPr="00447807" w:rsidRDefault="00146903" w:rsidP="00447807">
      <w:pPr>
        <w:spacing w:line="276" w:lineRule="auto"/>
        <w:jc w:val="both"/>
        <w:rPr>
          <w:sz w:val="20"/>
          <w:szCs w:val="20"/>
          <w:lang w:eastAsia="cs-CZ"/>
        </w:rPr>
      </w:pPr>
      <w:r w:rsidRPr="00447807">
        <w:rPr>
          <w:rStyle w:val="Znakapoznpodarou"/>
          <w:rFonts w:eastAsiaTheme="majorEastAsia"/>
          <w:sz w:val="20"/>
          <w:szCs w:val="20"/>
        </w:rPr>
        <w:footnoteRef/>
      </w:r>
      <w:r w:rsidRPr="00447807">
        <w:rPr>
          <w:sz w:val="20"/>
          <w:szCs w:val="20"/>
        </w:rPr>
        <w:t xml:space="preserve"> </w:t>
      </w:r>
      <w:r w:rsidRPr="00447807">
        <w:rPr>
          <w:sz w:val="20"/>
          <w:szCs w:val="20"/>
          <w:lang w:eastAsia="cs-CZ"/>
        </w:rPr>
        <w:t xml:space="preserve">MUSÍLEK, Petr. </w:t>
      </w:r>
      <w:r w:rsidRPr="00447807">
        <w:rPr>
          <w:i/>
          <w:iCs/>
          <w:sz w:val="20"/>
          <w:szCs w:val="20"/>
          <w:lang w:eastAsia="cs-CZ"/>
        </w:rPr>
        <w:t>Trhy cenných papírů</w:t>
      </w:r>
      <w:r w:rsidRPr="00447807">
        <w:rPr>
          <w:sz w:val="20"/>
          <w:szCs w:val="20"/>
          <w:lang w:eastAsia="cs-CZ"/>
        </w:rPr>
        <w:t xml:space="preserve">. 2., aktualiz. a rozš. vyd. Praha: Ekopress, 2011, 520 s. ISBN 9788086929705. s. 101 </w:t>
      </w:r>
    </w:p>
  </w:footnote>
  <w:footnote w:id="29">
    <w:p w:rsidR="00146903" w:rsidRPr="00447807" w:rsidRDefault="00146903" w:rsidP="00447807">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Zajišťovatel předpokládá v budoucnu potřebu daného podkladového aktiva.</w:t>
      </w:r>
    </w:p>
  </w:footnote>
  <w:footnote w:id="30">
    <w:p w:rsidR="00146903" w:rsidRPr="00447807" w:rsidRDefault="00146903" w:rsidP="00447807">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Kompenzace platí pouze při splatnosti termínových kontraktů. </w:t>
      </w:r>
    </w:p>
  </w:footnote>
  <w:footnote w:id="31">
    <w:p w:rsidR="00146903" w:rsidRPr="00447807" w:rsidRDefault="00146903" w:rsidP="00447807">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Tyto změny se rovnají, pokud neuvažujeme žádné náklady na zajištění. Ve skutečnosti však investor tyto náklady platí, čímž je tato rovnost lehce narušena.</w:t>
      </w:r>
    </w:p>
  </w:footnote>
  <w:footnote w:id="32">
    <w:p w:rsidR="00146903" w:rsidRPr="00B50353" w:rsidRDefault="00146903" w:rsidP="00447807">
      <w:pPr>
        <w:spacing w:line="276" w:lineRule="auto"/>
        <w:jc w:val="both"/>
        <w:rPr>
          <w:sz w:val="20"/>
          <w:szCs w:val="20"/>
        </w:rPr>
      </w:pPr>
      <w:r w:rsidRPr="00447807">
        <w:rPr>
          <w:rStyle w:val="Znakapoznpodarou"/>
          <w:rFonts w:eastAsiaTheme="majorEastAsia"/>
          <w:sz w:val="20"/>
          <w:szCs w:val="20"/>
        </w:rPr>
        <w:footnoteRef/>
      </w:r>
      <w:r w:rsidRPr="00447807">
        <w:rPr>
          <w:sz w:val="20"/>
          <w:szCs w:val="20"/>
        </w:rPr>
        <w:t xml:space="preserve"> </w:t>
      </w:r>
      <w:r w:rsidRPr="00447807">
        <w:rPr>
          <w:sz w:val="20"/>
          <w:szCs w:val="20"/>
          <w:lang w:eastAsia="cs-CZ"/>
        </w:rPr>
        <w:t xml:space="preserve">BLAKE, David. </w:t>
      </w:r>
      <w:r w:rsidRPr="00447807">
        <w:rPr>
          <w:i/>
          <w:iCs/>
          <w:sz w:val="20"/>
          <w:szCs w:val="20"/>
          <w:lang w:eastAsia="cs-CZ"/>
        </w:rPr>
        <w:t>Analýza finančních trhů</w:t>
      </w:r>
      <w:r w:rsidRPr="00447807">
        <w:rPr>
          <w:sz w:val="20"/>
          <w:szCs w:val="20"/>
          <w:lang w:eastAsia="cs-CZ"/>
        </w:rPr>
        <w:t xml:space="preserve">. 1. vyd. Praha: Grada, 1995, 623 s. ISBN 8071692018. s. </w:t>
      </w:r>
      <w:r w:rsidRPr="00447807">
        <w:rPr>
          <w:sz w:val="20"/>
          <w:szCs w:val="20"/>
        </w:rPr>
        <w:t>527</w:t>
      </w:r>
    </w:p>
  </w:footnote>
  <w:footnote w:id="33">
    <w:p w:rsidR="00146903" w:rsidRPr="00447807" w:rsidRDefault="00146903" w:rsidP="007A3165">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DVOŘÁK, Petr. </w:t>
      </w:r>
      <w:r w:rsidRPr="00447807">
        <w:rPr>
          <w:rFonts w:ascii="Times New Roman" w:hAnsi="Times New Roman" w:cs="Times New Roman"/>
          <w:i/>
          <w:iCs/>
        </w:rPr>
        <w:t>Deriváty</w:t>
      </w:r>
      <w:r w:rsidRPr="00447807">
        <w:rPr>
          <w:rFonts w:ascii="Times New Roman" w:hAnsi="Times New Roman" w:cs="Times New Roman"/>
        </w:rPr>
        <w:t>. Vyd. 2., přeprac. V Praze: Oeconomica, 2008, 297 s. ISBN 9788024514352. s. 18</w:t>
      </w:r>
    </w:p>
  </w:footnote>
  <w:footnote w:id="34">
    <w:p w:rsidR="00146903" w:rsidRPr="0013765B" w:rsidRDefault="00146903" w:rsidP="008122F3">
      <w:pPr>
        <w:pStyle w:val="Textpoznpodarou"/>
        <w:spacing w:line="276" w:lineRule="auto"/>
        <w:jc w:val="both"/>
        <w:rPr>
          <w:rFonts w:ascii="Times New Roman" w:hAnsi="Times New Roman" w:cs="Times New Roman"/>
        </w:rPr>
      </w:pPr>
      <w:r w:rsidRPr="0013765B">
        <w:rPr>
          <w:rStyle w:val="Znakapoznpodarou"/>
          <w:rFonts w:ascii="Times New Roman" w:hAnsi="Times New Roman" w:cs="Times New Roman"/>
        </w:rPr>
        <w:footnoteRef/>
      </w:r>
      <w:r w:rsidRPr="0013765B">
        <w:rPr>
          <w:rFonts w:ascii="Times New Roman" w:hAnsi="Times New Roman" w:cs="Times New Roman"/>
        </w:rPr>
        <w:t xml:space="preserve"> JÍLEK, Josef. </w:t>
      </w:r>
      <w:r w:rsidRPr="0013765B">
        <w:rPr>
          <w:rFonts w:ascii="Times New Roman" w:hAnsi="Times New Roman" w:cs="Times New Roman"/>
          <w:i/>
          <w:iCs/>
        </w:rPr>
        <w:t>Finanční a komoditní deriváty v praxi</w:t>
      </w:r>
      <w:r w:rsidRPr="0013765B">
        <w:rPr>
          <w:rFonts w:ascii="Times New Roman" w:hAnsi="Times New Roman" w:cs="Times New Roman"/>
        </w:rPr>
        <w:t>. 2. uprav. vyd. Praha: Grada, 2010, 630 s. ISBN 9788024736969. s. 87</w:t>
      </w:r>
    </w:p>
  </w:footnote>
  <w:footnote w:id="35">
    <w:p w:rsidR="00146903" w:rsidRDefault="00146903" w:rsidP="008122F3">
      <w:pPr>
        <w:pStyle w:val="Textpoznpodarou"/>
        <w:spacing w:line="276" w:lineRule="auto"/>
        <w:jc w:val="both"/>
      </w:pPr>
      <w:r w:rsidRPr="0013765B">
        <w:rPr>
          <w:rStyle w:val="Znakapoznpodarou"/>
          <w:rFonts w:ascii="Times New Roman" w:hAnsi="Times New Roman" w:cs="Times New Roman"/>
        </w:rPr>
        <w:footnoteRef/>
      </w:r>
      <w:r w:rsidRPr="0013765B">
        <w:rPr>
          <w:rFonts w:ascii="Times New Roman" w:hAnsi="Times New Roman" w:cs="Times New Roman"/>
        </w:rPr>
        <w:t xml:space="preserve"> DVOŘÁK, Petr. </w:t>
      </w:r>
      <w:r w:rsidRPr="0013765B">
        <w:rPr>
          <w:rFonts w:ascii="Times New Roman" w:hAnsi="Times New Roman" w:cs="Times New Roman"/>
          <w:i/>
          <w:iCs/>
        </w:rPr>
        <w:t>Deriváty</w:t>
      </w:r>
      <w:r w:rsidRPr="0013765B">
        <w:rPr>
          <w:rFonts w:ascii="Times New Roman" w:hAnsi="Times New Roman" w:cs="Times New Roman"/>
        </w:rPr>
        <w:t>. Vyd. 2., přeprac. V Praze: Oeconomica, 2008, 297 s. ISBN 9788024514352. s. 45</w:t>
      </w:r>
    </w:p>
  </w:footnote>
  <w:footnote w:id="36">
    <w:p w:rsidR="00146903" w:rsidRDefault="00146903" w:rsidP="008122F3">
      <w:pPr>
        <w:pStyle w:val="Textpoznpodarou"/>
        <w:spacing w:line="276" w:lineRule="auto"/>
        <w:jc w:val="both"/>
      </w:pPr>
      <w:r w:rsidRPr="00C0474A">
        <w:rPr>
          <w:rStyle w:val="Znakapoznpodarou"/>
          <w:rFonts w:ascii="Times New Roman" w:hAnsi="Times New Roman" w:cs="Times New Roman"/>
        </w:rPr>
        <w:footnoteRef/>
      </w:r>
      <w:r w:rsidRPr="00C0474A">
        <w:rPr>
          <w:rFonts w:ascii="Times New Roman" w:hAnsi="Times New Roman" w:cs="Times New Roman"/>
        </w:rPr>
        <w:t xml:space="preserve"> DVOŘÁK, Petr. </w:t>
      </w:r>
      <w:r w:rsidRPr="00C0474A">
        <w:rPr>
          <w:rFonts w:ascii="Times New Roman" w:hAnsi="Times New Roman" w:cs="Times New Roman"/>
          <w:i/>
          <w:iCs/>
        </w:rPr>
        <w:t>Deriváty</w:t>
      </w:r>
      <w:r w:rsidRPr="00C0474A">
        <w:rPr>
          <w:rFonts w:ascii="Times New Roman" w:hAnsi="Times New Roman" w:cs="Times New Roman"/>
        </w:rPr>
        <w:t>. Vyd. 2., přeprac. V Praze: Oeconomica, 2008, 297 s. ISBN 9788024514352. s. 48</w:t>
      </w:r>
    </w:p>
  </w:footnote>
  <w:footnote w:id="37">
    <w:p w:rsidR="00146903" w:rsidRPr="00C0474A" w:rsidRDefault="00146903" w:rsidP="008122F3">
      <w:pPr>
        <w:pStyle w:val="Textpoznpodarou"/>
        <w:spacing w:line="276" w:lineRule="auto"/>
        <w:jc w:val="both"/>
        <w:rPr>
          <w:rFonts w:ascii="Times New Roman" w:hAnsi="Times New Roman" w:cs="Times New Roman"/>
        </w:rPr>
      </w:pPr>
      <w:r w:rsidRPr="00C0474A">
        <w:rPr>
          <w:rStyle w:val="Znakapoznpodarou"/>
          <w:rFonts w:ascii="Times New Roman" w:hAnsi="Times New Roman" w:cs="Times New Roman"/>
        </w:rPr>
        <w:footnoteRef/>
      </w:r>
      <w:r w:rsidRPr="00C0474A">
        <w:rPr>
          <w:rFonts w:ascii="Times New Roman" w:hAnsi="Times New Roman" w:cs="Times New Roman"/>
        </w:rPr>
        <w:t xml:space="preserve"> DVOŘÁK, Petr. </w:t>
      </w:r>
      <w:r w:rsidRPr="00C0474A">
        <w:rPr>
          <w:rFonts w:ascii="Times New Roman" w:hAnsi="Times New Roman" w:cs="Times New Roman"/>
          <w:i/>
          <w:iCs/>
        </w:rPr>
        <w:t>Deriváty</w:t>
      </w:r>
      <w:r w:rsidRPr="00C0474A">
        <w:rPr>
          <w:rFonts w:ascii="Times New Roman" w:hAnsi="Times New Roman" w:cs="Times New Roman"/>
        </w:rPr>
        <w:t>. Vyd. 2., přeprac. V Praze: Oeconomica, 2008, 297 s. ISBN 9788024514352. s. 49</w:t>
      </w:r>
    </w:p>
  </w:footnote>
  <w:footnote w:id="38">
    <w:p w:rsidR="00146903" w:rsidRPr="000342B4" w:rsidRDefault="00146903" w:rsidP="00F20DC9">
      <w:pPr>
        <w:pStyle w:val="Textpoznpodarou"/>
        <w:spacing w:line="276" w:lineRule="auto"/>
        <w:jc w:val="both"/>
        <w:rPr>
          <w:rFonts w:ascii="Times New Roman" w:hAnsi="Times New Roman" w:cs="Times New Roman"/>
        </w:rPr>
      </w:pPr>
      <w:r w:rsidRPr="000342B4">
        <w:rPr>
          <w:rStyle w:val="Znakapoznpodarou"/>
          <w:rFonts w:ascii="Times New Roman" w:hAnsi="Times New Roman" w:cs="Times New Roman"/>
        </w:rPr>
        <w:footnoteRef/>
      </w:r>
      <w:r w:rsidRPr="000342B4">
        <w:rPr>
          <w:rFonts w:ascii="Times New Roman" w:hAnsi="Times New Roman" w:cs="Times New Roman"/>
        </w:rPr>
        <w:t xml:space="preserve"> </w:t>
      </w:r>
      <w:r w:rsidRPr="00BE5DC5">
        <w:rPr>
          <w:rFonts w:ascii="Times New Roman" w:hAnsi="Times New Roman" w:cs="Times New Roman"/>
          <w:i/>
        </w:rPr>
        <w:t>„London Interbank Offered Ra</w:t>
      </w:r>
      <w:r w:rsidRPr="000342B4">
        <w:rPr>
          <w:rFonts w:ascii="Times New Roman" w:hAnsi="Times New Roman" w:cs="Times New Roman"/>
        </w:rPr>
        <w:t>te</w:t>
      </w:r>
      <w:r>
        <w:rPr>
          <w:rFonts w:ascii="Times New Roman" w:hAnsi="Times New Roman" w:cs="Times New Roman"/>
        </w:rPr>
        <w:t>“</w:t>
      </w:r>
      <w:r w:rsidRPr="000342B4">
        <w:rPr>
          <w:rFonts w:ascii="Times New Roman" w:hAnsi="Times New Roman" w:cs="Times New Roman"/>
        </w:rPr>
        <w:t>, česky Londýnská mezibankovní nabídková sazba.</w:t>
      </w:r>
    </w:p>
  </w:footnote>
  <w:footnote w:id="39">
    <w:p w:rsidR="00146903" w:rsidRPr="000342B4" w:rsidRDefault="00146903" w:rsidP="00F20DC9">
      <w:pPr>
        <w:pStyle w:val="Textpoznpodarou"/>
        <w:spacing w:line="276" w:lineRule="auto"/>
        <w:jc w:val="both"/>
        <w:rPr>
          <w:rFonts w:ascii="Times New Roman" w:hAnsi="Times New Roman" w:cs="Times New Roman"/>
        </w:rPr>
      </w:pPr>
      <w:r w:rsidRPr="000342B4">
        <w:rPr>
          <w:rStyle w:val="Znakapoznpodarou"/>
          <w:rFonts w:ascii="Times New Roman" w:hAnsi="Times New Roman" w:cs="Times New Roman"/>
        </w:rPr>
        <w:footnoteRef/>
      </w:r>
      <w:r w:rsidRPr="000342B4">
        <w:rPr>
          <w:rFonts w:ascii="Times New Roman" w:hAnsi="Times New Roman" w:cs="Times New Roman"/>
        </w:rPr>
        <w:t xml:space="preserve"> </w:t>
      </w:r>
      <w:r w:rsidRPr="00BE5DC5">
        <w:rPr>
          <w:rFonts w:ascii="Times New Roman" w:hAnsi="Times New Roman" w:cs="Times New Roman"/>
          <w:i/>
        </w:rPr>
        <w:t>„</w:t>
      </w:r>
      <w:r w:rsidRPr="00BE5DC5">
        <w:rPr>
          <w:rStyle w:val="st"/>
          <w:rFonts w:ascii="Times New Roman" w:hAnsi="Times New Roman" w:cs="Times New Roman"/>
          <w:i/>
        </w:rPr>
        <w:t>Prague Interbank Offered Rate</w:t>
      </w:r>
      <w:r>
        <w:rPr>
          <w:rStyle w:val="st"/>
          <w:rFonts w:ascii="Times New Roman" w:hAnsi="Times New Roman" w:cs="Times New Roman"/>
          <w:i/>
        </w:rPr>
        <w:t>“</w:t>
      </w:r>
      <w:r w:rsidRPr="000342B4">
        <w:rPr>
          <w:rStyle w:val="st"/>
          <w:rFonts w:ascii="Times New Roman" w:hAnsi="Times New Roman" w:cs="Times New Roman"/>
        </w:rPr>
        <w:t>, česky Pražská mezibankovní nabídková sazba.</w:t>
      </w:r>
    </w:p>
  </w:footnote>
  <w:footnote w:id="40">
    <w:p w:rsidR="00146903" w:rsidRPr="00581380" w:rsidRDefault="00146903" w:rsidP="00581380">
      <w:pPr>
        <w:pStyle w:val="Textpoznpodarou"/>
        <w:spacing w:line="276" w:lineRule="auto"/>
        <w:jc w:val="both"/>
        <w:rPr>
          <w:rFonts w:ascii="Times New Roman" w:hAnsi="Times New Roman" w:cs="Times New Roman"/>
        </w:rPr>
      </w:pPr>
      <w:r w:rsidRPr="00581380">
        <w:rPr>
          <w:rStyle w:val="Znakapoznpodarou"/>
          <w:rFonts w:ascii="Times New Roman" w:hAnsi="Times New Roman" w:cs="Times New Roman"/>
        </w:rPr>
        <w:footnoteRef/>
      </w:r>
      <w:r w:rsidRPr="00581380">
        <w:rPr>
          <w:rFonts w:ascii="Times New Roman" w:hAnsi="Times New Roman" w:cs="Times New Roman"/>
        </w:rPr>
        <w:t xml:space="preserve"> DVOŘÁK, Petr. </w:t>
      </w:r>
      <w:r w:rsidRPr="00581380">
        <w:rPr>
          <w:rFonts w:ascii="Times New Roman" w:hAnsi="Times New Roman" w:cs="Times New Roman"/>
          <w:i/>
          <w:iCs/>
        </w:rPr>
        <w:t>Deriváty</w:t>
      </w:r>
      <w:r w:rsidRPr="00581380">
        <w:rPr>
          <w:rFonts w:ascii="Times New Roman" w:hAnsi="Times New Roman" w:cs="Times New Roman"/>
        </w:rPr>
        <w:t>. Vyd. 2., přeprac. V Praze: Oeconomica, 2008, 297 s. ISBN 9788024514352. s. 46</w:t>
      </w:r>
    </w:p>
  </w:footnote>
  <w:footnote w:id="41">
    <w:p w:rsidR="00146903" w:rsidRPr="00581380" w:rsidRDefault="00146903" w:rsidP="00581380">
      <w:pPr>
        <w:pStyle w:val="Textpoznpodarou"/>
        <w:spacing w:line="276" w:lineRule="auto"/>
        <w:jc w:val="both"/>
        <w:rPr>
          <w:rFonts w:ascii="Times New Roman" w:hAnsi="Times New Roman" w:cs="Times New Roman"/>
        </w:rPr>
      </w:pPr>
      <w:r w:rsidRPr="00581380">
        <w:rPr>
          <w:rStyle w:val="Znakapoznpodarou"/>
          <w:rFonts w:ascii="Times New Roman" w:hAnsi="Times New Roman" w:cs="Times New Roman"/>
        </w:rPr>
        <w:footnoteRef/>
      </w:r>
      <w:r w:rsidRPr="00581380">
        <w:rPr>
          <w:rFonts w:ascii="Times New Roman" w:hAnsi="Times New Roman" w:cs="Times New Roman"/>
        </w:rPr>
        <w:t xml:space="preserve"> ŠTURC, Boris. </w:t>
      </w:r>
      <w:r w:rsidRPr="00581380">
        <w:rPr>
          <w:rFonts w:ascii="Times New Roman" w:hAnsi="Times New Roman" w:cs="Times New Roman"/>
          <w:i/>
          <w:iCs/>
        </w:rPr>
        <w:t>Deriváty finančních trhů</w:t>
      </w:r>
      <w:r w:rsidRPr="00581380">
        <w:rPr>
          <w:rFonts w:ascii="Times New Roman" w:hAnsi="Times New Roman" w:cs="Times New Roman"/>
        </w:rPr>
        <w:t>. Brno: Ma</w:t>
      </w:r>
      <w:r>
        <w:rPr>
          <w:rFonts w:ascii="Times New Roman" w:hAnsi="Times New Roman" w:cs="Times New Roman"/>
        </w:rPr>
        <w:t>sarykova universita, Ekonomicko</w:t>
      </w:r>
      <w:r w:rsidRPr="00581380">
        <w:rPr>
          <w:rFonts w:ascii="Times New Roman" w:hAnsi="Times New Roman" w:cs="Times New Roman"/>
        </w:rPr>
        <w:t>-správní fakulta, 2002, 66</w:t>
      </w:r>
      <w:r>
        <w:rPr>
          <w:rFonts w:ascii="Times New Roman" w:hAnsi="Times New Roman" w:cs="Times New Roman"/>
        </w:rPr>
        <w:t> </w:t>
      </w:r>
      <w:r w:rsidRPr="00581380">
        <w:rPr>
          <w:rFonts w:ascii="Times New Roman" w:hAnsi="Times New Roman" w:cs="Times New Roman"/>
        </w:rPr>
        <w:t>s. s. 19</w:t>
      </w:r>
    </w:p>
  </w:footnote>
  <w:footnote w:id="42">
    <w:p w:rsidR="00146903" w:rsidRPr="00C70265" w:rsidRDefault="00146903" w:rsidP="000C2502">
      <w:pPr>
        <w:pStyle w:val="Textpoznpodarou"/>
        <w:spacing w:line="276" w:lineRule="auto"/>
        <w:jc w:val="both"/>
        <w:rPr>
          <w:rFonts w:ascii="Times New Roman" w:hAnsi="Times New Roman" w:cs="Times New Roman"/>
        </w:rPr>
      </w:pPr>
      <w:r w:rsidRPr="00C70265">
        <w:rPr>
          <w:rStyle w:val="Znakapoznpodarou"/>
          <w:rFonts w:ascii="Times New Roman" w:hAnsi="Times New Roman" w:cs="Times New Roman"/>
        </w:rPr>
        <w:footnoteRef/>
      </w:r>
      <w:r w:rsidRPr="00C70265">
        <w:rPr>
          <w:rFonts w:ascii="Times New Roman" w:hAnsi="Times New Roman" w:cs="Times New Roman"/>
        </w:rPr>
        <w:t xml:space="preserve"> Výsledky se nepatrně liší, pokud </w:t>
      </w:r>
      <w:r>
        <w:rPr>
          <w:rFonts w:ascii="Times New Roman" w:hAnsi="Times New Roman" w:cs="Times New Roman"/>
        </w:rPr>
        <w:t>je pro výpočet použito</w:t>
      </w:r>
      <w:r w:rsidRPr="00C70265">
        <w:rPr>
          <w:rFonts w:ascii="Times New Roman" w:hAnsi="Times New Roman" w:cs="Times New Roman"/>
        </w:rPr>
        <w:t xml:space="preserve"> jednoduché nebo složené úročení, tedy pokud se vše odehrává v rámci jednoho nebo více let.</w:t>
      </w:r>
    </w:p>
  </w:footnote>
  <w:footnote w:id="43">
    <w:p w:rsidR="00146903" w:rsidRPr="00C70265" w:rsidRDefault="00146903" w:rsidP="00C70265">
      <w:pPr>
        <w:pStyle w:val="Textpoznpodarou"/>
        <w:spacing w:line="276" w:lineRule="auto"/>
        <w:jc w:val="both"/>
        <w:rPr>
          <w:rFonts w:ascii="Times New Roman" w:hAnsi="Times New Roman" w:cs="Times New Roman"/>
        </w:rPr>
      </w:pPr>
      <w:r w:rsidRPr="00C70265">
        <w:rPr>
          <w:rStyle w:val="Znakapoznpodarou"/>
          <w:rFonts w:ascii="Times New Roman" w:hAnsi="Times New Roman" w:cs="Times New Roman"/>
        </w:rPr>
        <w:footnoteRef/>
      </w:r>
      <w:r w:rsidRPr="00C70265">
        <w:rPr>
          <w:rFonts w:ascii="Times New Roman" w:hAnsi="Times New Roman" w:cs="Times New Roman"/>
        </w:rPr>
        <w:t xml:space="preserve"> Nedochází tedy k přesunům nominální hodnoty FRA kontraktu. Nominální hodnota slouží pouze pro výpočet výše plnění.</w:t>
      </w:r>
    </w:p>
  </w:footnote>
  <w:footnote w:id="44">
    <w:p w:rsidR="00146903" w:rsidRPr="00C70265" w:rsidRDefault="00146903" w:rsidP="00C70265">
      <w:pPr>
        <w:pStyle w:val="Textpoznpodarou"/>
        <w:spacing w:line="276" w:lineRule="auto"/>
        <w:jc w:val="both"/>
        <w:rPr>
          <w:rFonts w:ascii="Times New Roman" w:hAnsi="Times New Roman" w:cs="Times New Roman"/>
        </w:rPr>
      </w:pPr>
      <w:r w:rsidRPr="00C70265">
        <w:rPr>
          <w:rStyle w:val="Znakapoznpodarou"/>
          <w:rFonts w:ascii="Times New Roman" w:hAnsi="Times New Roman" w:cs="Times New Roman"/>
        </w:rPr>
        <w:footnoteRef/>
      </w:r>
      <w:r w:rsidRPr="00C70265">
        <w:rPr>
          <w:rFonts w:ascii="Times New Roman" w:hAnsi="Times New Roman" w:cs="Times New Roman"/>
        </w:rPr>
        <w:t xml:space="preserve"> Čisté vypořádání hotovosti, tedy </w:t>
      </w:r>
      <w:r w:rsidRPr="00CC7A19">
        <w:rPr>
          <w:rFonts w:ascii="Times New Roman" w:hAnsi="Times New Roman" w:cs="Times New Roman"/>
          <w:i/>
        </w:rPr>
        <w:t>„interest netting“</w:t>
      </w:r>
      <w:r w:rsidRPr="00C70265">
        <w:rPr>
          <w:rFonts w:ascii="Times New Roman" w:hAnsi="Times New Roman" w:cs="Times New Roman"/>
        </w:rPr>
        <w:t xml:space="preserve"> je velmi podstatné. Liší se jím dohoda o forwardové úrokové míře od forwardového termínového vkladu, úvěru či půjčky hotovosti a od forwardové koupě či prodeji dluhového cenného papíru či pohledávky.</w:t>
      </w:r>
    </w:p>
  </w:footnote>
  <w:footnote w:id="45">
    <w:p w:rsidR="00146903" w:rsidRPr="00F07151" w:rsidRDefault="00146903" w:rsidP="00C70265">
      <w:pPr>
        <w:pStyle w:val="Textpoznpodarou"/>
        <w:spacing w:line="276" w:lineRule="auto"/>
        <w:jc w:val="both"/>
        <w:rPr>
          <w:rFonts w:ascii="Times New Roman" w:hAnsi="Times New Roman" w:cs="Times New Roman"/>
        </w:rPr>
      </w:pPr>
      <w:r w:rsidRPr="00F07151">
        <w:rPr>
          <w:rStyle w:val="Znakapoznpodarou"/>
          <w:rFonts w:ascii="Times New Roman" w:hAnsi="Times New Roman" w:cs="Times New Roman"/>
        </w:rPr>
        <w:footnoteRef/>
      </w:r>
      <w:r w:rsidRPr="00F07151">
        <w:rPr>
          <w:rFonts w:ascii="Times New Roman" w:hAnsi="Times New Roman" w:cs="Times New Roman"/>
        </w:rPr>
        <w:t xml:space="preserve"> </w:t>
      </w:r>
      <w:r>
        <w:rPr>
          <w:rFonts w:ascii="Times New Roman" w:hAnsi="Times New Roman" w:cs="Times New Roman"/>
        </w:rPr>
        <w:t xml:space="preserve">KOMERČNÍ BANKA. Forward rate agreement. </w:t>
      </w:r>
      <w:r w:rsidRPr="00F07151">
        <w:rPr>
          <w:rFonts w:ascii="Times New Roman" w:hAnsi="Times New Roman" w:cs="Times New Roman"/>
          <w:i/>
          <w:iCs/>
        </w:rPr>
        <w:t>Komerční banka</w:t>
      </w:r>
      <w:r w:rsidRPr="00F07151">
        <w:rPr>
          <w:rFonts w:ascii="Times New Roman" w:hAnsi="Times New Roman" w:cs="Times New Roman"/>
        </w:rPr>
        <w:t xml:space="preserve"> [online]. [cit. 2013-04-04]. Dostupné </w:t>
      </w:r>
      <w:r>
        <w:rPr>
          <w:rFonts w:ascii="Times New Roman" w:hAnsi="Times New Roman" w:cs="Times New Roman"/>
        </w:rPr>
        <w:t>na WWW</w:t>
      </w:r>
      <w:r w:rsidRPr="00F07151">
        <w:rPr>
          <w:rFonts w:ascii="Times New Roman" w:hAnsi="Times New Roman" w:cs="Times New Roman"/>
        </w:rPr>
        <w:t>: &lt;http://www.kb.cz/cs/verejna-sprava/zajisteni/forward-rate-agreement.shtml&gt;</w:t>
      </w:r>
    </w:p>
  </w:footnote>
  <w:footnote w:id="46">
    <w:p w:rsidR="00146903" w:rsidRPr="00CC7A19" w:rsidRDefault="00146903" w:rsidP="008122F3">
      <w:pPr>
        <w:pStyle w:val="Textpoznpodarou"/>
        <w:spacing w:line="276" w:lineRule="auto"/>
        <w:jc w:val="both"/>
        <w:rPr>
          <w:rFonts w:ascii="Times New Roman" w:hAnsi="Times New Roman" w:cs="Times New Roman"/>
        </w:rPr>
      </w:pPr>
      <w:r w:rsidRPr="00CC7A19">
        <w:rPr>
          <w:rStyle w:val="Znakapoznpodarou"/>
          <w:rFonts w:ascii="Times New Roman" w:hAnsi="Times New Roman" w:cs="Times New Roman"/>
        </w:rPr>
        <w:footnoteRef/>
      </w:r>
      <w:r w:rsidRPr="00CC7A19">
        <w:rPr>
          <w:rFonts w:ascii="Times New Roman" w:hAnsi="Times New Roman" w:cs="Times New Roman"/>
        </w:rPr>
        <w:t xml:space="preserve"> I pokud jsou forwardové měnové kurzy stále v nerovnováze, investor nemusí realizovat zisk díky transa</w:t>
      </w:r>
      <w:r>
        <w:rPr>
          <w:rFonts w:ascii="Times New Roman" w:hAnsi="Times New Roman" w:cs="Times New Roman"/>
        </w:rPr>
        <w:t>kč</w:t>
      </w:r>
      <w:r w:rsidRPr="00CC7A19">
        <w:rPr>
          <w:rFonts w:ascii="Times New Roman" w:hAnsi="Times New Roman" w:cs="Times New Roman"/>
        </w:rPr>
        <w:t>ním nákladům, daním apod.</w:t>
      </w:r>
    </w:p>
  </w:footnote>
  <w:footnote w:id="47">
    <w:p w:rsidR="00146903" w:rsidRPr="00CC7A19" w:rsidRDefault="00146903" w:rsidP="008122F3">
      <w:pPr>
        <w:pStyle w:val="Textpoznpodarou"/>
        <w:spacing w:line="276" w:lineRule="auto"/>
        <w:jc w:val="both"/>
        <w:rPr>
          <w:rFonts w:ascii="Times New Roman" w:hAnsi="Times New Roman" w:cs="Times New Roman"/>
        </w:rPr>
      </w:pPr>
      <w:r w:rsidRPr="00CC7A19">
        <w:rPr>
          <w:rStyle w:val="Znakapoznpodarou"/>
          <w:rFonts w:ascii="Times New Roman" w:hAnsi="Times New Roman" w:cs="Times New Roman"/>
        </w:rPr>
        <w:footnoteRef/>
      </w:r>
      <w:r w:rsidRPr="00CC7A19">
        <w:rPr>
          <w:rFonts w:ascii="Times New Roman" w:hAnsi="Times New Roman" w:cs="Times New Roman"/>
        </w:rPr>
        <w:t xml:space="preserve"> JÍLEK, Josef. </w:t>
      </w:r>
      <w:r w:rsidRPr="00CC7A19">
        <w:rPr>
          <w:rFonts w:ascii="Times New Roman" w:hAnsi="Times New Roman" w:cs="Times New Roman"/>
          <w:i/>
          <w:iCs/>
        </w:rPr>
        <w:t>Finanční a komoditní deriváty v praxi</w:t>
      </w:r>
      <w:r w:rsidRPr="00CC7A19">
        <w:rPr>
          <w:rFonts w:ascii="Times New Roman" w:hAnsi="Times New Roman" w:cs="Times New Roman"/>
        </w:rPr>
        <w:t>. 2. uprav. vyd. Praha: Grada, 2010, 630 s. ISBN 9788024736969. s. 195</w:t>
      </w:r>
    </w:p>
  </w:footnote>
  <w:footnote w:id="48">
    <w:p w:rsidR="00146903" w:rsidRPr="00C35B58" w:rsidRDefault="00146903" w:rsidP="00447807">
      <w:pPr>
        <w:pStyle w:val="Textpoznpodarou"/>
        <w:spacing w:line="276" w:lineRule="auto"/>
        <w:jc w:val="both"/>
        <w:rPr>
          <w:rFonts w:ascii="Times New Roman" w:hAnsi="Times New Roman" w:cs="Times New Roman"/>
        </w:rPr>
      </w:pPr>
      <w:r w:rsidRPr="00CC7A19">
        <w:rPr>
          <w:rStyle w:val="Znakapoznpodarou"/>
          <w:rFonts w:ascii="Times New Roman" w:hAnsi="Times New Roman" w:cs="Times New Roman"/>
        </w:rPr>
        <w:footnoteRef/>
      </w:r>
      <w:r w:rsidRPr="00CC7A19">
        <w:rPr>
          <w:rFonts w:ascii="Times New Roman" w:hAnsi="Times New Roman" w:cs="Times New Roman"/>
        </w:rPr>
        <w:t xml:space="preserve"> Následující text zpracován dle: ŠTURC, Boris. </w:t>
      </w:r>
      <w:r w:rsidRPr="00CC7A19">
        <w:rPr>
          <w:rFonts w:ascii="Times New Roman" w:hAnsi="Times New Roman" w:cs="Times New Roman"/>
          <w:i/>
          <w:iCs/>
        </w:rPr>
        <w:t>Deriváty finančních trhů</w:t>
      </w:r>
      <w:r w:rsidRPr="00CC7A19">
        <w:rPr>
          <w:rFonts w:ascii="Times New Roman" w:hAnsi="Times New Roman" w:cs="Times New Roman"/>
        </w:rPr>
        <w:t>. Brno: Ma</w:t>
      </w:r>
      <w:r>
        <w:rPr>
          <w:rFonts w:ascii="Times New Roman" w:hAnsi="Times New Roman" w:cs="Times New Roman"/>
        </w:rPr>
        <w:t>sarykova univerzita, Ekonomicko-</w:t>
      </w:r>
      <w:r w:rsidRPr="00CC7A19">
        <w:rPr>
          <w:rFonts w:ascii="Times New Roman" w:hAnsi="Times New Roman" w:cs="Times New Roman"/>
        </w:rPr>
        <w:t>správní fakulta, 2002, 66 s. s. 21, 22</w:t>
      </w:r>
    </w:p>
  </w:footnote>
  <w:footnote w:id="49">
    <w:p w:rsidR="00146903" w:rsidRDefault="00146903" w:rsidP="00C35B58">
      <w:pPr>
        <w:pStyle w:val="Textpoznpodarou"/>
        <w:spacing w:line="276" w:lineRule="auto"/>
        <w:jc w:val="both"/>
      </w:pPr>
      <w:r w:rsidRPr="00C35B58">
        <w:rPr>
          <w:rStyle w:val="Znakapoznpodarou"/>
          <w:rFonts w:ascii="Times New Roman" w:hAnsi="Times New Roman" w:cs="Times New Roman"/>
        </w:rPr>
        <w:footnoteRef/>
      </w:r>
      <w:r w:rsidRPr="00C35B58">
        <w:rPr>
          <w:rFonts w:ascii="Times New Roman" w:hAnsi="Times New Roman" w:cs="Times New Roman"/>
        </w:rPr>
        <w:t xml:space="preserve"> Následující text zpracován dle: ŠTURC, Boris. </w:t>
      </w:r>
      <w:r w:rsidRPr="00C35B58">
        <w:rPr>
          <w:rFonts w:ascii="Times New Roman" w:hAnsi="Times New Roman" w:cs="Times New Roman"/>
          <w:i/>
          <w:iCs/>
        </w:rPr>
        <w:t>Deriváty finančních trhů</w:t>
      </w:r>
      <w:r w:rsidRPr="00C35B58">
        <w:rPr>
          <w:rFonts w:ascii="Times New Roman" w:hAnsi="Times New Roman" w:cs="Times New Roman"/>
        </w:rPr>
        <w:t>. Brno: Masarykova univerzita, Ekonomicko-správní fakulta, 2002, 66 s. s. 22</w:t>
      </w:r>
    </w:p>
  </w:footnote>
  <w:footnote w:id="50">
    <w:p w:rsidR="00146903" w:rsidRPr="00447807" w:rsidRDefault="00146903" w:rsidP="00C35B58">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JÍLEK, Josef. </w:t>
      </w:r>
      <w:r w:rsidRPr="00447807">
        <w:rPr>
          <w:rFonts w:ascii="Times New Roman" w:hAnsi="Times New Roman" w:cs="Times New Roman"/>
          <w:i/>
          <w:iCs/>
        </w:rPr>
        <w:t>Finanční a komoditní deriváty v praxi</w:t>
      </w:r>
      <w:r w:rsidRPr="00447807">
        <w:rPr>
          <w:rFonts w:ascii="Times New Roman" w:hAnsi="Times New Roman" w:cs="Times New Roman"/>
        </w:rPr>
        <w:t>. 2. uprav. vyd. Praha: Grada, 2010, 630 s. ISBN 9788024736969. s. 195, 196</w:t>
      </w:r>
    </w:p>
  </w:footnote>
  <w:footnote w:id="51">
    <w:p w:rsidR="00146903" w:rsidRDefault="00146903" w:rsidP="00C35B58">
      <w:pPr>
        <w:pStyle w:val="Textpoznpodarou"/>
        <w:spacing w:line="276" w:lineRule="auto"/>
        <w:jc w:val="both"/>
      </w:pPr>
      <w:r w:rsidRPr="007C6219">
        <w:rPr>
          <w:rStyle w:val="Znakapoznpodarou"/>
          <w:rFonts w:ascii="Times New Roman" w:hAnsi="Times New Roman" w:cs="Times New Roman"/>
        </w:rPr>
        <w:footnoteRef/>
      </w:r>
      <w:r w:rsidRPr="007C6219">
        <w:rPr>
          <w:rFonts w:ascii="Times New Roman" w:hAnsi="Times New Roman" w:cs="Times New Roman"/>
        </w:rPr>
        <w:t xml:space="preserve"> </w:t>
      </w:r>
      <w:r>
        <w:rPr>
          <w:rFonts w:ascii="Times New Roman" w:hAnsi="Times New Roman" w:cs="Times New Roman"/>
        </w:rPr>
        <w:t xml:space="preserve">ČESKÁ NÁRODNÍ BANKA: Forwardové kurzy koruny k EUR a USD zveřejňované ČNB. </w:t>
      </w:r>
      <w:r w:rsidRPr="007C6219">
        <w:rPr>
          <w:rFonts w:ascii="Times New Roman" w:hAnsi="Times New Roman" w:cs="Times New Roman"/>
          <w:i/>
          <w:iCs/>
        </w:rPr>
        <w:t>Česká národní banka</w:t>
      </w:r>
      <w:r w:rsidRPr="007C6219">
        <w:rPr>
          <w:rFonts w:ascii="Times New Roman" w:hAnsi="Times New Roman" w:cs="Times New Roman"/>
        </w:rPr>
        <w:t xml:space="preserve"> [online]. [cit. 2013-03-04]. Dostupné na WWW: &lt;http://www.cnb.cz/cs/faq/forwardove_kurzy_koruny.html&gt;</w:t>
      </w:r>
    </w:p>
  </w:footnote>
  <w:footnote w:id="52">
    <w:p w:rsidR="00146903" w:rsidRPr="007223E6" w:rsidRDefault="00146903" w:rsidP="007223E6">
      <w:pPr>
        <w:pStyle w:val="Textpoznpodarou"/>
        <w:spacing w:line="276" w:lineRule="auto"/>
        <w:jc w:val="both"/>
        <w:rPr>
          <w:rFonts w:ascii="Times New Roman" w:hAnsi="Times New Roman" w:cs="Times New Roman"/>
        </w:rPr>
      </w:pPr>
      <w:r w:rsidRPr="007223E6">
        <w:rPr>
          <w:rStyle w:val="Znakapoznpodarou"/>
          <w:rFonts w:ascii="Times New Roman" w:hAnsi="Times New Roman" w:cs="Times New Roman"/>
        </w:rPr>
        <w:footnoteRef/>
      </w:r>
      <w:r w:rsidRPr="007223E6">
        <w:rPr>
          <w:rFonts w:ascii="Times New Roman" w:hAnsi="Times New Roman" w:cs="Times New Roman"/>
        </w:rPr>
        <w:t xml:space="preserve"> Jinak kreditní riziko či riziko protistrany. Toto riziko závisí na tom, do jaké míry je protistrana schopná dostát svým závazkům.</w:t>
      </w:r>
    </w:p>
  </w:footnote>
  <w:footnote w:id="53">
    <w:p w:rsidR="00146903" w:rsidRPr="007223E6" w:rsidRDefault="00146903" w:rsidP="007223E6">
      <w:pPr>
        <w:pStyle w:val="Textpoznpodarou"/>
        <w:spacing w:line="276" w:lineRule="auto"/>
        <w:jc w:val="both"/>
        <w:rPr>
          <w:rFonts w:ascii="Times New Roman" w:hAnsi="Times New Roman" w:cs="Times New Roman"/>
        </w:rPr>
      </w:pPr>
      <w:r w:rsidRPr="007223E6">
        <w:rPr>
          <w:rStyle w:val="Znakapoznpodarou"/>
          <w:rFonts w:ascii="Times New Roman" w:hAnsi="Times New Roman" w:cs="Times New Roman"/>
        </w:rPr>
        <w:footnoteRef/>
      </w:r>
      <w:r w:rsidRPr="007223E6">
        <w:rPr>
          <w:rFonts w:ascii="Times New Roman" w:hAnsi="Times New Roman" w:cs="Times New Roman"/>
        </w:rPr>
        <w:t xml:space="preserve"> DVOŘÁK, Petr. </w:t>
      </w:r>
      <w:r w:rsidRPr="007223E6">
        <w:rPr>
          <w:rFonts w:ascii="Times New Roman" w:hAnsi="Times New Roman" w:cs="Times New Roman"/>
          <w:i/>
          <w:iCs/>
        </w:rPr>
        <w:t>Deriváty</w:t>
      </w:r>
      <w:r w:rsidRPr="007223E6">
        <w:rPr>
          <w:rFonts w:ascii="Times New Roman" w:hAnsi="Times New Roman" w:cs="Times New Roman"/>
        </w:rPr>
        <w:t>. Vyd. 2., přeprac. V Praze: Oeconomica, 2008, 297 s. ISBN 9788024514352. s. 28</w:t>
      </w:r>
    </w:p>
  </w:footnote>
  <w:footnote w:id="54">
    <w:p w:rsidR="00146903" w:rsidRPr="007223E6" w:rsidRDefault="00146903" w:rsidP="007223E6">
      <w:pPr>
        <w:pStyle w:val="Textpoznpodarou"/>
        <w:spacing w:line="276" w:lineRule="auto"/>
        <w:jc w:val="both"/>
        <w:rPr>
          <w:rFonts w:ascii="Times New Roman" w:hAnsi="Times New Roman" w:cs="Times New Roman"/>
        </w:rPr>
      </w:pPr>
      <w:r w:rsidRPr="007223E6">
        <w:rPr>
          <w:rStyle w:val="Znakapoznpodarou"/>
          <w:rFonts w:ascii="Times New Roman" w:hAnsi="Times New Roman" w:cs="Times New Roman"/>
        </w:rPr>
        <w:footnoteRef/>
      </w:r>
      <w:r w:rsidRPr="007223E6">
        <w:rPr>
          <w:rFonts w:ascii="Times New Roman" w:hAnsi="Times New Roman" w:cs="Times New Roman"/>
        </w:rPr>
        <w:t xml:space="preserve"> Cena futures kontraktů je dána střetem nabídky a poptávky po daném instrumentu na konkrétní termínové burze.</w:t>
      </w:r>
    </w:p>
  </w:footnote>
  <w:footnote w:id="55">
    <w:p w:rsidR="00146903" w:rsidRPr="007223E6" w:rsidRDefault="00146903" w:rsidP="007223E6">
      <w:pPr>
        <w:pStyle w:val="Textpoznpodarou"/>
        <w:spacing w:line="276" w:lineRule="auto"/>
        <w:jc w:val="both"/>
        <w:rPr>
          <w:rFonts w:ascii="Times New Roman" w:hAnsi="Times New Roman" w:cs="Times New Roman"/>
        </w:rPr>
      </w:pPr>
      <w:r w:rsidRPr="007223E6">
        <w:rPr>
          <w:rStyle w:val="Znakapoznpodarou"/>
          <w:rFonts w:ascii="Times New Roman" w:hAnsi="Times New Roman" w:cs="Times New Roman"/>
        </w:rPr>
        <w:footnoteRef/>
      </w:r>
      <w:r w:rsidRPr="007223E6">
        <w:rPr>
          <w:rFonts w:ascii="Times New Roman" w:hAnsi="Times New Roman" w:cs="Times New Roman"/>
        </w:rPr>
        <w:t xml:space="preserve"> Za předpokladu, že jde o obchodní den. Pokud by tomu tak nebylo, </w:t>
      </w:r>
      <w:r>
        <w:rPr>
          <w:rFonts w:ascii="Times New Roman" w:hAnsi="Times New Roman" w:cs="Times New Roman"/>
        </w:rPr>
        <w:t>datem dodávky</w:t>
      </w:r>
      <w:r w:rsidRPr="007223E6">
        <w:rPr>
          <w:rFonts w:ascii="Times New Roman" w:hAnsi="Times New Roman" w:cs="Times New Roman"/>
        </w:rPr>
        <w:t xml:space="preserve"> by </w:t>
      </w:r>
      <w:r>
        <w:rPr>
          <w:rFonts w:ascii="Times New Roman" w:hAnsi="Times New Roman" w:cs="Times New Roman"/>
        </w:rPr>
        <w:t>byl předcházející obchodní den.</w:t>
      </w:r>
    </w:p>
  </w:footnote>
  <w:footnote w:id="56">
    <w:p w:rsidR="00146903" w:rsidRPr="00A008CF" w:rsidRDefault="00146903" w:rsidP="00A008CF">
      <w:pPr>
        <w:spacing w:line="276" w:lineRule="auto"/>
        <w:jc w:val="both"/>
        <w:rPr>
          <w:sz w:val="20"/>
          <w:szCs w:val="20"/>
        </w:rPr>
      </w:pPr>
      <w:r w:rsidRPr="00A008CF">
        <w:rPr>
          <w:rStyle w:val="Znakapoznpodarou"/>
          <w:sz w:val="20"/>
          <w:szCs w:val="20"/>
        </w:rPr>
        <w:footnoteRef/>
      </w:r>
      <w:r w:rsidRPr="00A008CF">
        <w:rPr>
          <w:sz w:val="20"/>
          <w:szCs w:val="20"/>
        </w:rPr>
        <w:t xml:space="preserve"> Standardizovaná data dodávky se mohou na jednotlivých termínových burzách lišit. Uvedené datum je platné například pro burzu NYSE Euronext.</w:t>
      </w:r>
    </w:p>
  </w:footnote>
  <w:footnote w:id="57">
    <w:p w:rsidR="00146903" w:rsidRPr="00A008CF" w:rsidRDefault="00146903" w:rsidP="00A008CF">
      <w:pPr>
        <w:pStyle w:val="Textpoznpodarou"/>
        <w:spacing w:line="276" w:lineRule="auto"/>
        <w:jc w:val="both"/>
        <w:rPr>
          <w:rFonts w:ascii="Times New Roman" w:hAnsi="Times New Roman" w:cs="Times New Roman"/>
        </w:rPr>
      </w:pPr>
      <w:r w:rsidRPr="00A008CF">
        <w:rPr>
          <w:rStyle w:val="Znakapoznpodarou"/>
          <w:rFonts w:ascii="Times New Roman" w:hAnsi="Times New Roman" w:cs="Times New Roman"/>
        </w:rPr>
        <w:footnoteRef/>
      </w:r>
      <w:r w:rsidRPr="00A008CF">
        <w:rPr>
          <w:rFonts w:ascii="Times New Roman" w:hAnsi="Times New Roman" w:cs="Times New Roman"/>
        </w:rPr>
        <w:t xml:space="preserve"> REJNUŠ, Oldřich. </w:t>
      </w:r>
      <w:r w:rsidRPr="00A008CF">
        <w:rPr>
          <w:rFonts w:ascii="Times New Roman" w:hAnsi="Times New Roman" w:cs="Times New Roman"/>
          <w:i/>
          <w:iCs/>
        </w:rPr>
        <w:t>Finanční trhy</w:t>
      </w:r>
      <w:r w:rsidRPr="00A008CF">
        <w:rPr>
          <w:rFonts w:ascii="Times New Roman" w:hAnsi="Times New Roman" w:cs="Times New Roman"/>
        </w:rPr>
        <w:t>. 3. rozš. vyd. Ostrava: Key Publishing, 2011, 689 s. ISBN 9788074181283. s. 462</w:t>
      </w:r>
    </w:p>
  </w:footnote>
  <w:footnote w:id="58">
    <w:p w:rsidR="00146903" w:rsidRDefault="00146903" w:rsidP="00A008CF">
      <w:pPr>
        <w:spacing w:line="276" w:lineRule="auto"/>
        <w:jc w:val="both"/>
        <w:rPr>
          <w:lang w:eastAsia="cs-CZ"/>
        </w:rPr>
      </w:pPr>
      <w:r w:rsidRPr="00A008CF">
        <w:rPr>
          <w:rStyle w:val="Znakapoznpodarou"/>
          <w:sz w:val="20"/>
          <w:szCs w:val="20"/>
        </w:rPr>
        <w:footnoteRef/>
      </w:r>
      <w:r w:rsidRPr="00A008CF">
        <w:rPr>
          <w:sz w:val="20"/>
          <w:szCs w:val="20"/>
        </w:rPr>
        <w:t xml:space="preserve"> </w:t>
      </w:r>
      <w:r w:rsidRPr="00A008CF">
        <w:rPr>
          <w:sz w:val="20"/>
          <w:szCs w:val="20"/>
          <w:lang w:eastAsia="cs-CZ"/>
        </w:rPr>
        <w:t xml:space="preserve">MADURA, Jeff. </w:t>
      </w:r>
      <w:r w:rsidRPr="00A008CF">
        <w:rPr>
          <w:i/>
          <w:iCs/>
          <w:sz w:val="20"/>
          <w:szCs w:val="20"/>
          <w:lang w:eastAsia="cs-CZ"/>
        </w:rPr>
        <w:t>International financial management</w:t>
      </w:r>
      <w:r w:rsidRPr="00A008CF">
        <w:rPr>
          <w:sz w:val="20"/>
          <w:szCs w:val="20"/>
          <w:lang w:eastAsia="cs-CZ"/>
        </w:rPr>
        <w:t>. 3. ed. St. Paul: West, 1992, 29, 728 s. ISBN 0314862722. s. 124</w:t>
      </w:r>
    </w:p>
  </w:footnote>
  <w:footnote w:id="59">
    <w:p w:rsidR="00146903" w:rsidRPr="00447807" w:rsidRDefault="00146903" w:rsidP="00C6367B">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U forwardů je oproti futures velmi obtížné pozici uzavřít před dobou splatnosti. Kvůli individualizaci kontraktu je zpravidla nesnadné najít jiného investora, kterému by vyhovovaly podmínky kontraktu, které si „na míru“ sjednaly původní strany obchodu.</w:t>
      </w:r>
    </w:p>
  </w:footnote>
  <w:footnote w:id="60">
    <w:p w:rsidR="00146903" w:rsidRPr="00447807" w:rsidRDefault="00146903" w:rsidP="00876213">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Spekulanti pak také sami svými obchody zvyšují likviditu trhu.</w:t>
      </w:r>
    </w:p>
  </w:footnote>
  <w:footnote w:id="61">
    <w:p w:rsidR="00146903" w:rsidRPr="00447807" w:rsidRDefault="00146903" w:rsidP="00C6367B">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Obzvláště pro spekulující investory je fyzické vypořádání nepřijatelné. I spekulanti mohou na burze uzavírat krátké pozice, tedy prodá</w:t>
      </w:r>
      <w:r>
        <w:rPr>
          <w:rFonts w:ascii="Times New Roman" w:hAnsi="Times New Roman" w:cs="Times New Roman"/>
        </w:rPr>
        <w:t>vat pokladové aktivum. Není jejich</w:t>
      </w:r>
      <w:r w:rsidRPr="00447807">
        <w:rPr>
          <w:rFonts w:ascii="Times New Roman" w:hAnsi="Times New Roman" w:cs="Times New Roman"/>
        </w:rPr>
        <w:t xml:space="preserve"> povinností při prodeji futures kontraktu dané podkladové aktivum vlastnit.</w:t>
      </w:r>
    </w:p>
  </w:footnote>
  <w:footnote w:id="62">
    <w:p w:rsidR="00146903" w:rsidRPr="00447807" w:rsidRDefault="00146903" w:rsidP="00876213">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Den splatnosti kontraktu je obecně znám jako </w:t>
      </w:r>
      <w:r w:rsidRPr="00447807">
        <w:rPr>
          <w:rFonts w:ascii="Times New Roman" w:hAnsi="Times New Roman" w:cs="Times New Roman"/>
          <w:i/>
        </w:rPr>
        <w:t>„final settlement day“</w:t>
      </w:r>
      <w:r w:rsidRPr="00447807">
        <w:rPr>
          <w:rFonts w:ascii="Times New Roman" w:hAnsi="Times New Roman" w:cs="Times New Roman"/>
        </w:rPr>
        <w:t xml:space="preserve">. Samotný den plnění kontraktu je pak na světových burzách označován jako </w:t>
      </w:r>
      <w:r w:rsidRPr="00447807">
        <w:rPr>
          <w:rFonts w:ascii="Times New Roman" w:hAnsi="Times New Roman" w:cs="Times New Roman"/>
          <w:i/>
        </w:rPr>
        <w:t>„delivery day“</w:t>
      </w:r>
      <w:r w:rsidRPr="00447807">
        <w:rPr>
          <w:rFonts w:ascii="Times New Roman" w:hAnsi="Times New Roman" w:cs="Times New Roman"/>
        </w:rPr>
        <w:t>.</w:t>
      </w:r>
    </w:p>
  </w:footnote>
  <w:footnote w:id="63">
    <w:p w:rsidR="00146903" w:rsidRPr="00447807" w:rsidRDefault="00146903" w:rsidP="00E124C3">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BLAHA, Zdenek Sid a Irena JINDŘICHOVSKÁ. </w:t>
      </w:r>
      <w:r w:rsidRPr="00447807">
        <w:rPr>
          <w:rFonts w:ascii="Times New Roman" w:hAnsi="Times New Roman" w:cs="Times New Roman"/>
          <w:i/>
          <w:iCs/>
        </w:rPr>
        <w:t>Opce, swapy, futures: deriváty finančního trhu</w:t>
      </w:r>
      <w:r w:rsidRPr="00447807">
        <w:rPr>
          <w:rFonts w:ascii="Times New Roman" w:hAnsi="Times New Roman" w:cs="Times New Roman"/>
        </w:rPr>
        <w:t>. 2. rozš. vyd. Praha: Management Press, 1997, 206 s. ISBN 8085943298. s. 24</w:t>
      </w:r>
    </w:p>
  </w:footnote>
  <w:footnote w:id="64">
    <w:p w:rsidR="00146903" w:rsidRPr="009069CD" w:rsidRDefault="00146903" w:rsidP="006E5B98">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REJNUŠ, Oldřich. </w:t>
      </w:r>
      <w:r w:rsidRPr="00447807">
        <w:rPr>
          <w:rFonts w:ascii="Times New Roman" w:hAnsi="Times New Roman" w:cs="Times New Roman"/>
          <w:i/>
          <w:iCs/>
        </w:rPr>
        <w:t>Finanční trhy</w:t>
      </w:r>
      <w:r w:rsidRPr="00447807">
        <w:rPr>
          <w:rFonts w:ascii="Times New Roman" w:hAnsi="Times New Roman" w:cs="Times New Roman"/>
        </w:rPr>
        <w:t>. 3. rozš. vyd. Ostrava: Key Publishing, 2011, 689 s. ISBN 9788074181283. s. 464</w:t>
      </w:r>
    </w:p>
  </w:footnote>
  <w:footnote w:id="65">
    <w:p w:rsidR="00146903" w:rsidRPr="006E5B98" w:rsidRDefault="00146903" w:rsidP="00D306E1">
      <w:pPr>
        <w:pStyle w:val="Textpoznpodarou"/>
        <w:spacing w:line="276" w:lineRule="auto"/>
        <w:jc w:val="both"/>
        <w:rPr>
          <w:rFonts w:ascii="Times New Roman" w:hAnsi="Times New Roman" w:cs="Times New Roman"/>
        </w:rPr>
      </w:pPr>
      <w:r w:rsidRPr="006E5B98">
        <w:rPr>
          <w:rStyle w:val="Znakapoznpodarou"/>
          <w:rFonts w:ascii="Times New Roman" w:hAnsi="Times New Roman" w:cs="Times New Roman"/>
        </w:rPr>
        <w:footnoteRef/>
      </w:r>
      <w:r w:rsidRPr="006E5B98">
        <w:rPr>
          <w:rFonts w:ascii="Times New Roman" w:hAnsi="Times New Roman" w:cs="Times New Roman"/>
        </w:rPr>
        <w:t xml:space="preserve"> JÍLEK, Josef. </w:t>
      </w:r>
      <w:r w:rsidRPr="006E5B98">
        <w:rPr>
          <w:rFonts w:ascii="Times New Roman" w:hAnsi="Times New Roman" w:cs="Times New Roman"/>
          <w:i/>
          <w:iCs/>
        </w:rPr>
        <w:t>Termínové a opční obchody</w:t>
      </w:r>
      <w:r w:rsidRPr="006E5B98">
        <w:rPr>
          <w:rFonts w:ascii="Times New Roman" w:hAnsi="Times New Roman" w:cs="Times New Roman"/>
        </w:rPr>
        <w:t>. Vyd. 1. Praha: Grada, 1995, 286 s. ISBN 8071691836. s. 85</w:t>
      </w:r>
    </w:p>
  </w:footnote>
  <w:footnote w:id="66">
    <w:p w:rsidR="00146903" w:rsidRPr="006E5B98" w:rsidRDefault="00146903" w:rsidP="00E124C3">
      <w:pPr>
        <w:pStyle w:val="Textpoznpodarou"/>
        <w:spacing w:line="276" w:lineRule="auto"/>
        <w:jc w:val="both"/>
        <w:rPr>
          <w:rFonts w:ascii="Times New Roman" w:hAnsi="Times New Roman" w:cs="Times New Roman"/>
        </w:rPr>
      </w:pPr>
      <w:r w:rsidRPr="006E5B98">
        <w:rPr>
          <w:rStyle w:val="Znakapoznpodarou"/>
          <w:rFonts w:ascii="Times New Roman" w:hAnsi="Times New Roman" w:cs="Times New Roman"/>
        </w:rPr>
        <w:footnoteRef/>
      </w:r>
      <w:r w:rsidRPr="006E5B98">
        <w:rPr>
          <w:rFonts w:ascii="Times New Roman" w:hAnsi="Times New Roman" w:cs="Times New Roman"/>
        </w:rPr>
        <w:t xml:space="preserve"> Neboli </w:t>
      </w:r>
      <w:r w:rsidRPr="00044F0F">
        <w:rPr>
          <w:rFonts w:ascii="Times New Roman" w:hAnsi="Times New Roman" w:cs="Times New Roman"/>
          <w:i/>
        </w:rPr>
        <w:t>„initial margin“</w:t>
      </w:r>
      <w:r w:rsidRPr="006E5B98">
        <w:rPr>
          <w:rFonts w:ascii="Times New Roman" w:hAnsi="Times New Roman" w:cs="Times New Roman"/>
        </w:rPr>
        <w:t>.</w:t>
      </w:r>
    </w:p>
  </w:footnote>
  <w:footnote w:id="67">
    <w:p w:rsidR="00146903" w:rsidRPr="006E5B98" w:rsidRDefault="00146903" w:rsidP="00E124C3">
      <w:pPr>
        <w:pStyle w:val="Textpoznpodarou"/>
        <w:spacing w:line="276" w:lineRule="auto"/>
        <w:jc w:val="both"/>
        <w:rPr>
          <w:rFonts w:ascii="Times New Roman" w:hAnsi="Times New Roman" w:cs="Times New Roman"/>
        </w:rPr>
      </w:pPr>
      <w:r w:rsidRPr="006E5B98">
        <w:rPr>
          <w:rStyle w:val="Znakapoznpodarou"/>
          <w:rFonts w:ascii="Times New Roman" w:hAnsi="Times New Roman" w:cs="Times New Roman"/>
        </w:rPr>
        <w:footnoteRef/>
      </w:r>
      <w:r w:rsidRPr="006E5B98">
        <w:rPr>
          <w:rFonts w:ascii="Times New Roman" w:hAnsi="Times New Roman" w:cs="Times New Roman"/>
        </w:rPr>
        <w:t xml:space="preserve"> BLAHA, Zdenek Sid a Irena JINDŘICHOVSKÁ. </w:t>
      </w:r>
      <w:r w:rsidRPr="006E5B98">
        <w:rPr>
          <w:rFonts w:ascii="Times New Roman" w:hAnsi="Times New Roman" w:cs="Times New Roman"/>
          <w:i/>
          <w:iCs/>
        </w:rPr>
        <w:t>Opce, swapy, futures: deriváty finančního trhu</w:t>
      </w:r>
      <w:r w:rsidRPr="006E5B98">
        <w:rPr>
          <w:rFonts w:ascii="Times New Roman" w:hAnsi="Times New Roman" w:cs="Times New Roman"/>
        </w:rPr>
        <w:t>. 2. rozš. vyd. Praha: Management Press, 1997, 206 s. ISBN 8085943298. s. 25</w:t>
      </w:r>
    </w:p>
  </w:footnote>
  <w:footnote w:id="68">
    <w:p w:rsidR="00146903" w:rsidRPr="006E5B98" w:rsidRDefault="00146903" w:rsidP="00E124C3">
      <w:pPr>
        <w:pStyle w:val="Textpoznpodarou"/>
        <w:spacing w:line="276" w:lineRule="auto"/>
        <w:jc w:val="both"/>
        <w:rPr>
          <w:rFonts w:ascii="Times New Roman" w:hAnsi="Times New Roman" w:cs="Times New Roman"/>
        </w:rPr>
      </w:pPr>
      <w:r w:rsidRPr="006E5B98">
        <w:rPr>
          <w:rStyle w:val="Znakapoznpodarou"/>
          <w:rFonts w:ascii="Times New Roman" w:hAnsi="Times New Roman" w:cs="Times New Roman"/>
        </w:rPr>
        <w:footnoteRef/>
      </w:r>
      <w:r w:rsidRPr="006E5B98">
        <w:rPr>
          <w:rFonts w:ascii="Times New Roman" w:hAnsi="Times New Roman" w:cs="Times New Roman"/>
        </w:rPr>
        <w:t xml:space="preserve"> JÍLEK, Josef. </w:t>
      </w:r>
      <w:r w:rsidRPr="006E5B98">
        <w:rPr>
          <w:rFonts w:ascii="Times New Roman" w:hAnsi="Times New Roman" w:cs="Times New Roman"/>
          <w:i/>
          <w:iCs/>
        </w:rPr>
        <w:t>Termínové a opční obchody</w:t>
      </w:r>
      <w:r w:rsidRPr="006E5B98">
        <w:rPr>
          <w:rFonts w:ascii="Times New Roman" w:hAnsi="Times New Roman" w:cs="Times New Roman"/>
        </w:rPr>
        <w:t>. Vyd. 1. Praha: Grada, 1995, 286 s. ISBN 8071691836. s. 87</w:t>
      </w:r>
    </w:p>
  </w:footnote>
  <w:footnote w:id="69">
    <w:p w:rsidR="00146903" w:rsidRPr="006E5B98" w:rsidRDefault="00146903" w:rsidP="006E5B98">
      <w:pPr>
        <w:pStyle w:val="Textpoznpodarou"/>
        <w:spacing w:line="276" w:lineRule="auto"/>
        <w:jc w:val="both"/>
        <w:rPr>
          <w:rFonts w:ascii="Times New Roman" w:hAnsi="Times New Roman" w:cs="Times New Roman"/>
        </w:rPr>
      </w:pPr>
      <w:r w:rsidRPr="006E5B98">
        <w:rPr>
          <w:rStyle w:val="Znakapoznpodarou"/>
          <w:rFonts w:ascii="Times New Roman" w:hAnsi="Times New Roman" w:cs="Times New Roman"/>
        </w:rPr>
        <w:footnoteRef/>
      </w:r>
      <w:r w:rsidRPr="006E5B98">
        <w:rPr>
          <w:rFonts w:ascii="Times New Roman" w:hAnsi="Times New Roman" w:cs="Times New Roman"/>
        </w:rPr>
        <w:t xml:space="preserve"> BLAHA, Zdenek Sid a Irena JINDŘICHOVSKÁ. </w:t>
      </w:r>
      <w:r w:rsidRPr="006E5B98">
        <w:rPr>
          <w:rFonts w:ascii="Times New Roman" w:hAnsi="Times New Roman" w:cs="Times New Roman"/>
          <w:i/>
          <w:iCs/>
        </w:rPr>
        <w:t>Opce, swapy, futures: deriváty finančního trhu</w:t>
      </w:r>
      <w:r w:rsidRPr="006E5B98">
        <w:rPr>
          <w:rFonts w:ascii="Times New Roman" w:hAnsi="Times New Roman" w:cs="Times New Roman"/>
        </w:rPr>
        <w:t>. 2. rozš. vyd. Praha: Management Press, 1997, 206 s. ISBN 8085943298. s. 26</w:t>
      </w:r>
    </w:p>
  </w:footnote>
  <w:footnote w:id="70">
    <w:p w:rsidR="00146903" w:rsidRPr="00044F0F" w:rsidRDefault="00146903" w:rsidP="006E5B98">
      <w:pPr>
        <w:pStyle w:val="Textpoznpodarou"/>
        <w:spacing w:line="276" w:lineRule="auto"/>
        <w:jc w:val="both"/>
        <w:rPr>
          <w:rFonts w:ascii="Times New Roman" w:hAnsi="Times New Roman" w:cs="Times New Roman"/>
        </w:rPr>
      </w:pPr>
      <w:r w:rsidRPr="006E5B98">
        <w:rPr>
          <w:rStyle w:val="Znakapoznpodarou"/>
          <w:rFonts w:ascii="Times New Roman" w:hAnsi="Times New Roman" w:cs="Times New Roman"/>
        </w:rPr>
        <w:footnoteRef/>
      </w:r>
      <w:r>
        <w:rPr>
          <w:rFonts w:ascii="Times New Roman" w:hAnsi="Times New Roman" w:cs="Times New Roman"/>
        </w:rPr>
        <w:t xml:space="preserve"> Neboli </w:t>
      </w:r>
      <w:r>
        <w:rPr>
          <w:rFonts w:ascii="Times New Roman" w:hAnsi="Times New Roman" w:cs="Times New Roman"/>
          <w:i/>
        </w:rPr>
        <w:t>„maintenance margin“</w:t>
      </w:r>
      <w:r>
        <w:rPr>
          <w:rFonts w:ascii="Times New Roman" w:hAnsi="Times New Roman" w:cs="Times New Roman"/>
        </w:rPr>
        <w:t>.</w:t>
      </w:r>
    </w:p>
  </w:footnote>
  <w:footnote w:id="71">
    <w:p w:rsidR="00146903" w:rsidRPr="00DB0FB6" w:rsidRDefault="00146903" w:rsidP="00DB0FB6">
      <w:pPr>
        <w:pStyle w:val="Textpoznpodarou"/>
        <w:spacing w:line="276" w:lineRule="auto"/>
        <w:jc w:val="both"/>
        <w:rPr>
          <w:rFonts w:ascii="Times New Roman" w:hAnsi="Times New Roman" w:cs="Times New Roman"/>
        </w:rPr>
      </w:pPr>
      <w:r w:rsidRPr="00DB0FB6">
        <w:rPr>
          <w:rStyle w:val="Znakapoznpodarou"/>
          <w:rFonts w:ascii="Times New Roman" w:hAnsi="Times New Roman" w:cs="Times New Roman"/>
        </w:rPr>
        <w:footnoteRef/>
      </w:r>
      <w:r w:rsidRPr="00DB0FB6">
        <w:rPr>
          <w:rFonts w:ascii="Times New Roman" w:hAnsi="Times New Roman" w:cs="Times New Roman"/>
        </w:rPr>
        <w:t xml:space="preserve"> Udržovací marže zpravidla činí 75 % původní zálohové marže.</w:t>
      </w:r>
    </w:p>
  </w:footnote>
  <w:footnote w:id="72">
    <w:p w:rsidR="00146903" w:rsidRPr="00233476" w:rsidRDefault="00146903" w:rsidP="00DB0FB6">
      <w:pPr>
        <w:pStyle w:val="Textpoznpodarou"/>
        <w:spacing w:line="276" w:lineRule="auto"/>
        <w:jc w:val="both"/>
        <w:rPr>
          <w:rFonts w:ascii="Times New Roman" w:hAnsi="Times New Roman" w:cs="Times New Roman"/>
        </w:rPr>
      </w:pPr>
      <w:r w:rsidRPr="00233476">
        <w:rPr>
          <w:rStyle w:val="Znakapoznpodarou"/>
          <w:rFonts w:ascii="Times New Roman" w:hAnsi="Times New Roman" w:cs="Times New Roman"/>
        </w:rPr>
        <w:footnoteRef/>
      </w:r>
      <w:r w:rsidRPr="00233476">
        <w:rPr>
          <w:rFonts w:ascii="Times New Roman" w:hAnsi="Times New Roman" w:cs="Times New Roman"/>
        </w:rPr>
        <w:t xml:space="preserve"> Neboli </w:t>
      </w:r>
      <w:r w:rsidRPr="00233476">
        <w:rPr>
          <w:rFonts w:ascii="Times New Roman" w:hAnsi="Times New Roman" w:cs="Times New Roman"/>
          <w:i/>
        </w:rPr>
        <w:t>„margin call“</w:t>
      </w:r>
      <w:r w:rsidRPr="00233476">
        <w:rPr>
          <w:rFonts w:ascii="Times New Roman" w:hAnsi="Times New Roman" w:cs="Times New Roman"/>
        </w:rPr>
        <w:t>.</w:t>
      </w:r>
    </w:p>
  </w:footnote>
  <w:footnote w:id="73">
    <w:p w:rsidR="00146903" w:rsidRPr="00233476" w:rsidRDefault="00146903" w:rsidP="001637AD">
      <w:pPr>
        <w:pStyle w:val="Textpoznpodarou"/>
        <w:spacing w:line="276" w:lineRule="auto"/>
        <w:jc w:val="both"/>
        <w:rPr>
          <w:rFonts w:ascii="Times New Roman" w:hAnsi="Times New Roman" w:cs="Times New Roman"/>
        </w:rPr>
      </w:pPr>
      <w:r w:rsidRPr="00233476">
        <w:rPr>
          <w:rStyle w:val="Znakapoznpodarou"/>
          <w:rFonts w:ascii="Times New Roman" w:hAnsi="Times New Roman" w:cs="Times New Roman"/>
        </w:rPr>
        <w:footnoteRef/>
      </w:r>
      <w:r w:rsidRPr="00233476">
        <w:rPr>
          <w:rFonts w:ascii="Times New Roman" w:hAnsi="Times New Roman" w:cs="Times New Roman"/>
        </w:rPr>
        <w:t xml:space="preserve"> BLAHA, Zdenek Sid a Irena JINDŘICHOVSKÁ. </w:t>
      </w:r>
      <w:r w:rsidRPr="00233476">
        <w:rPr>
          <w:rFonts w:ascii="Times New Roman" w:hAnsi="Times New Roman" w:cs="Times New Roman"/>
          <w:i/>
          <w:iCs/>
        </w:rPr>
        <w:t>Opce, swapy, futures: deriváty finančního trhu</w:t>
      </w:r>
      <w:r w:rsidRPr="00233476">
        <w:rPr>
          <w:rFonts w:ascii="Times New Roman" w:hAnsi="Times New Roman" w:cs="Times New Roman"/>
        </w:rPr>
        <w:t>. 2. rozš. vyd. Praha: Management Press, 1997, 206 s. ISBN 8085943298. s. 26</w:t>
      </w:r>
    </w:p>
  </w:footnote>
  <w:footnote w:id="74">
    <w:p w:rsidR="00146903" w:rsidRPr="00233476" w:rsidRDefault="00146903" w:rsidP="001637AD">
      <w:pPr>
        <w:pStyle w:val="Textpoznpodarou"/>
        <w:spacing w:line="276" w:lineRule="auto"/>
        <w:jc w:val="both"/>
        <w:rPr>
          <w:rFonts w:ascii="Times New Roman" w:hAnsi="Times New Roman" w:cs="Times New Roman"/>
        </w:rPr>
      </w:pPr>
      <w:r w:rsidRPr="00233476">
        <w:rPr>
          <w:rStyle w:val="Znakapoznpodarou"/>
          <w:rFonts w:ascii="Times New Roman" w:hAnsi="Times New Roman" w:cs="Times New Roman"/>
        </w:rPr>
        <w:footnoteRef/>
      </w:r>
      <w:r w:rsidRPr="00233476">
        <w:rPr>
          <w:rFonts w:ascii="Times New Roman" w:hAnsi="Times New Roman" w:cs="Times New Roman"/>
        </w:rPr>
        <w:t xml:space="preserve"> JÍLEK, Josef. </w:t>
      </w:r>
      <w:r w:rsidRPr="00233476">
        <w:rPr>
          <w:rFonts w:ascii="Times New Roman" w:hAnsi="Times New Roman" w:cs="Times New Roman"/>
          <w:i/>
          <w:iCs/>
        </w:rPr>
        <w:t>Termínové a opční obchody</w:t>
      </w:r>
      <w:r w:rsidRPr="00233476">
        <w:rPr>
          <w:rFonts w:ascii="Times New Roman" w:hAnsi="Times New Roman" w:cs="Times New Roman"/>
        </w:rPr>
        <w:t>. Vyd. 1. Praha: Grada, 1995, 286 s. ISBN 8071691836. s. 87, 88</w:t>
      </w:r>
    </w:p>
  </w:footnote>
  <w:footnote w:id="75">
    <w:p w:rsidR="00146903" w:rsidRPr="00463709" w:rsidRDefault="00146903" w:rsidP="00E124C3">
      <w:pPr>
        <w:pStyle w:val="Textpoznpodarou"/>
        <w:spacing w:line="276" w:lineRule="auto"/>
        <w:jc w:val="both"/>
        <w:rPr>
          <w:rFonts w:ascii="Times New Roman" w:hAnsi="Times New Roman" w:cs="Times New Roman"/>
        </w:rPr>
      </w:pPr>
      <w:r w:rsidRPr="00233476">
        <w:rPr>
          <w:rStyle w:val="Znakapoznpodarou"/>
          <w:rFonts w:ascii="Times New Roman" w:hAnsi="Times New Roman" w:cs="Times New Roman"/>
        </w:rPr>
        <w:footnoteRef/>
      </w:r>
      <w:r w:rsidRPr="00233476">
        <w:rPr>
          <w:rFonts w:ascii="Times New Roman" w:hAnsi="Times New Roman" w:cs="Times New Roman"/>
        </w:rPr>
        <w:t xml:space="preserve"> Toto platí, pokud nejsou uvažovány náklady na zajištění.</w:t>
      </w:r>
    </w:p>
  </w:footnote>
  <w:footnote w:id="76">
    <w:p w:rsidR="00146903" w:rsidRPr="00447807" w:rsidRDefault="00146903" w:rsidP="00447807">
      <w:pPr>
        <w:suppressAutoHyphens w:val="0"/>
        <w:autoSpaceDE w:val="0"/>
        <w:autoSpaceDN w:val="0"/>
        <w:adjustRightInd w:val="0"/>
        <w:spacing w:line="276" w:lineRule="auto"/>
        <w:jc w:val="both"/>
        <w:rPr>
          <w:sz w:val="20"/>
          <w:szCs w:val="20"/>
        </w:rPr>
      </w:pPr>
      <w:r w:rsidRPr="00447807">
        <w:rPr>
          <w:rStyle w:val="Znakapoznpodarou"/>
          <w:sz w:val="20"/>
          <w:szCs w:val="20"/>
        </w:rPr>
        <w:footnoteRef/>
      </w:r>
      <w:r w:rsidRPr="00447807">
        <w:rPr>
          <w:sz w:val="20"/>
          <w:szCs w:val="20"/>
        </w:rPr>
        <w:t xml:space="preserve"> </w:t>
      </w:r>
      <w:r w:rsidRPr="00447807">
        <w:rPr>
          <w:rFonts w:eastAsiaTheme="minorHAnsi"/>
          <w:sz w:val="20"/>
          <w:szCs w:val="20"/>
          <w:lang w:eastAsia="en-US"/>
        </w:rPr>
        <w:t xml:space="preserve">HULL, J.C. </w:t>
      </w:r>
      <w:r w:rsidRPr="00447807">
        <w:rPr>
          <w:rFonts w:eastAsiaTheme="minorHAnsi"/>
          <w:i/>
          <w:iCs/>
          <w:sz w:val="20"/>
          <w:szCs w:val="20"/>
          <w:lang w:eastAsia="en-US"/>
        </w:rPr>
        <w:t xml:space="preserve">Options, Futures and Other Derivatives. </w:t>
      </w:r>
      <w:r w:rsidRPr="00447807">
        <w:rPr>
          <w:rFonts w:eastAsiaTheme="minorHAnsi"/>
          <w:sz w:val="20"/>
          <w:szCs w:val="20"/>
          <w:lang w:eastAsia="en-US"/>
        </w:rPr>
        <w:t>5. vyd. New Jersey: Prentice Hall, 2003. 744 s. ISBN 0-13-009056-5. s.</w:t>
      </w:r>
      <w:r w:rsidRPr="00447807">
        <w:rPr>
          <w:sz w:val="20"/>
          <w:szCs w:val="20"/>
        </w:rPr>
        <w:t xml:space="preserve"> 77</w:t>
      </w:r>
    </w:p>
  </w:footnote>
  <w:footnote w:id="77">
    <w:p w:rsidR="00146903" w:rsidRPr="00447807" w:rsidRDefault="00146903" w:rsidP="00447807">
      <w:pPr>
        <w:pStyle w:val="Textpoznpodarou"/>
        <w:spacing w:line="276" w:lineRule="auto"/>
        <w:jc w:val="both"/>
        <w:rPr>
          <w:rFonts w:ascii="Times New Roman" w:hAnsi="Times New Roman" w:cs="Times New Roman"/>
        </w:rPr>
      </w:pPr>
      <w:r w:rsidRPr="00447807">
        <w:rPr>
          <w:rStyle w:val="Znakapoznpodarou"/>
          <w:rFonts w:ascii="Times New Roman" w:hAnsi="Times New Roman" w:cs="Times New Roman"/>
        </w:rPr>
        <w:footnoteRef/>
      </w:r>
      <w:r w:rsidRPr="00447807">
        <w:rPr>
          <w:rFonts w:ascii="Times New Roman" w:hAnsi="Times New Roman" w:cs="Times New Roman"/>
        </w:rPr>
        <w:t xml:space="preserve"> ŠTURC, Boris. </w:t>
      </w:r>
      <w:r w:rsidRPr="00447807">
        <w:rPr>
          <w:rFonts w:ascii="Times New Roman" w:hAnsi="Times New Roman" w:cs="Times New Roman"/>
          <w:i/>
          <w:iCs/>
        </w:rPr>
        <w:t>Deriváty finančních trhů</w:t>
      </w:r>
      <w:r w:rsidRPr="00447807">
        <w:rPr>
          <w:rFonts w:ascii="Times New Roman" w:hAnsi="Times New Roman" w:cs="Times New Roman"/>
        </w:rPr>
        <w:t>. Brno: Masarykova universita, Ekonomicko-správní fakulta, 2002. 66 s. s. 30</w:t>
      </w:r>
    </w:p>
  </w:footnote>
  <w:footnote w:id="78">
    <w:p w:rsidR="00146903" w:rsidRDefault="00146903" w:rsidP="00447807">
      <w:pPr>
        <w:pStyle w:val="Textpoznpodarou"/>
        <w:spacing w:line="276" w:lineRule="auto"/>
        <w:jc w:val="both"/>
      </w:pPr>
      <w:r w:rsidRPr="00447807">
        <w:rPr>
          <w:rStyle w:val="Znakapoznpodarou"/>
          <w:rFonts w:ascii="Times New Roman" w:hAnsi="Times New Roman" w:cs="Times New Roman"/>
        </w:rPr>
        <w:footnoteRef/>
      </w:r>
      <w:r w:rsidRPr="00447807">
        <w:rPr>
          <w:rFonts w:ascii="Times New Roman" w:hAnsi="Times New Roman" w:cs="Times New Roman"/>
        </w:rPr>
        <w:t xml:space="preserve"> ŠTURC, Boris. </w:t>
      </w:r>
      <w:r w:rsidRPr="00447807">
        <w:rPr>
          <w:rFonts w:ascii="Times New Roman" w:hAnsi="Times New Roman" w:cs="Times New Roman"/>
          <w:i/>
          <w:iCs/>
        </w:rPr>
        <w:t>Deriváty finančních trhů</w:t>
      </w:r>
      <w:r w:rsidRPr="00447807">
        <w:rPr>
          <w:rFonts w:ascii="Times New Roman" w:hAnsi="Times New Roman" w:cs="Times New Roman"/>
        </w:rPr>
        <w:t>. Brno: Masarykova universita, Ekonomicko-správní fakulta, 2002. 66 s. s. 31</w:t>
      </w:r>
    </w:p>
  </w:footnote>
  <w:footnote w:id="79">
    <w:p w:rsidR="00146903" w:rsidRPr="00EF1BC1" w:rsidRDefault="00146903" w:rsidP="00EF1BC1">
      <w:pPr>
        <w:pStyle w:val="Textpoznpodarou"/>
        <w:spacing w:line="276" w:lineRule="auto"/>
        <w:jc w:val="both"/>
        <w:rPr>
          <w:rFonts w:ascii="Times New Roman" w:hAnsi="Times New Roman" w:cs="Times New Roman"/>
        </w:rPr>
      </w:pPr>
      <w:r w:rsidRPr="00EF1BC1">
        <w:rPr>
          <w:rStyle w:val="Znakapoznpodarou"/>
          <w:rFonts w:ascii="Times New Roman" w:hAnsi="Times New Roman" w:cs="Times New Roman"/>
        </w:rPr>
        <w:footnoteRef/>
      </w:r>
      <w:r w:rsidRPr="00EF1BC1">
        <w:rPr>
          <w:rFonts w:ascii="Times New Roman" w:hAnsi="Times New Roman" w:cs="Times New Roman"/>
        </w:rPr>
        <w:t xml:space="preserve"> JÍLEK, Josef. </w:t>
      </w:r>
      <w:r w:rsidRPr="00EF1BC1">
        <w:rPr>
          <w:rFonts w:ascii="Times New Roman" w:hAnsi="Times New Roman" w:cs="Times New Roman"/>
          <w:i/>
          <w:iCs/>
        </w:rPr>
        <w:t>Finanční a komoditní deriváty v praxi</w:t>
      </w:r>
      <w:r w:rsidRPr="00EF1BC1">
        <w:rPr>
          <w:rFonts w:ascii="Times New Roman" w:hAnsi="Times New Roman" w:cs="Times New Roman"/>
        </w:rPr>
        <w:t>. 2. uprav. vyd. Praha: Grada, 2010, 630 s. ISBN 9788024736969. s. 242</w:t>
      </w:r>
    </w:p>
  </w:footnote>
  <w:footnote w:id="80">
    <w:p w:rsidR="00146903" w:rsidRPr="00EF1BC1" w:rsidRDefault="00146903" w:rsidP="00EF1BC1">
      <w:pPr>
        <w:pStyle w:val="Textpoznpodarou"/>
        <w:spacing w:line="276" w:lineRule="auto"/>
        <w:jc w:val="both"/>
        <w:rPr>
          <w:rFonts w:ascii="Times New Roman" w:hAnsi="Times New Roman" w:cs="Times New Roman"/>
        </w:rPr>
      </w:pPr>
      <w:r w:rsidRPr="00EF1BC1">
        <w:rPr>
          <w:rStyle w:val="Znakapoznpodarou"/>
          <w:rFonts w:ascii="Times New Roman" w:hAnsi="Times New Roman" w:cs="Times New Roman"/>
        </w:rPr>
        <w:footnoteRef/>
      </w:r>
      <w:r w:rsidRPr="00EF1BC1">
        <w:rPr>
          <w:rFonts w:ascii="Times New Roman" w:hAnsi="Times New Roman" w:cs="Times New Roman"/>
        </w:rPr>
        <w:t xml:space="preserve"> DVOŘÁK, Petr. </w:t>
      </w:r>
      <w:r w:rsidRPr="00EF1BC1">
        <w:rPr>
          <w:rFonts w:ascii="Times New Roman" w:hAnsi="Times New Roman" w:cs="Times New Roman"/>
          <w:i/>
          <w:iCs/>
        </w:rPr>
        <w:t>Deriváty</w:t>
      </w:r>
      <w:r w:rsidRPr="00EF1BC1">
        <w:rPr>
          <w:rFonts w:ascii="Times New Roman" w:hAnsi="Times New Roman" w:cs="Times New Roman"/>
        </w:rPr>
        <w:t>. Vyd. 2., přeprac. V Praze: Oeconomica, 2008, 297 s. ISBN 9788024514352. s. 173</w:t>
      </w:r>
    </w:p>
  </w:footnote>
  <w:footnote w:id="81">
    <w:p w:rsidR="00146903" w:rsidRDefault="00146903" w:rsidP="00EF1BC1">
      <w:pPr>
        <w:pStyle w:val="Textpoznpodarou"/>
        <w:spacing w:line="276" w:lineRule="auto"/>
        <w:jc w:val="both"/>
      </w:pPr>
      <w:r w:rsidRPr="00EF1BC1">
        <w:rPr>
          <w:rStyle w:val="Znakapoznpodarou"/>
          <w:rFonts w:ascii="Times New Roman" w:hAnsi="Times New Roman" w:cs="Times New Roman"/>
        </w:rPr>
        <w:footnoteRef/>
      </w:r>
      <w:r w:rsidRPr="00EF1BC1">
        <w:rPr>
          <w:rFonts w:ascii="Times New Roman" w:hAnsi="Times New Roman" w:cs="Times New Roman"/>
        </w:rPr>
        <w:t xml:space="preserve"> DVOŘÁK, Petr. </w:t>
      </w:r>
      <w:r w:rsidRPr="00EF1BC1">
        <w:rPr>
          <w:rFonts w:ascii="Times New Roman" w:hAnsi="Times New Roman" w:cs="Times New Roman"/>
          <w:i/>
          <w:iCs/>
        </w:rPr>
        <w:t>Deriváty</w:t>
      </w:r>
      <w:r w:rsidRPr="00EF1BC1">
        <w:rPr>
          <w:rFonts w:ascii="Times New Roman" w:hAnsi="Times New Roman" w:cs="Times New Roman"/>
        </w:rPr>
        <w:t>. Vyd. 2., přeprac. V Praze: Oeconomica, 2008, 297 s. ISBN 9788024514352. s. 174</w:t>
      </w:r>
    </w:p>
  </w:footnote>
  <w:footnote w:id="82">
    <w:p w:rsidR="00146903" w:rsidRPr="00C32B38" w:rsidRDefault="00146903" w:rsidP="00E124C3">
      <w:pPr>
        <w:pStyle w:val="Textpoznpodarou"/>
        <w:spacing w:line="276" w:lineRule="auto"/>
        <w:jc w:val="both"/>
        <w:rPr>
          <w:rFonts w:ascii="Times New Roman" w:hAnsi="Times New Roman" w:cs="Times New Roman"/>
        </w:rPr>
      </w:pPr>
      <w:r w:rsidRPr="00C32B38">
        <w:rPr>
          <w:rStyle w:val="Znakapoznpodarou"/>
          <w:rFonts w:ascii="Times New Roman" w:hAnsi="Times New Roman" w:cs="Times New Roman"/>
        </w:rPr>
        <w:footnoteRef/>
      </w:r>
      <w:r w:rsidRPr="00C32B38">
        <w:rPr>
          <w:rFonts w:ascii="Times New Roman" w:hAnsi="Times New Roman" w:cs="Times New Roman"/>
        </w:rPr>
        <w:t xml:space="preserve"> JÍLEK, Josef. </w:t>
      </w:r>
      <w:r w:rsidRPr="00C32B38">
        <w:rPr>
          <w:rFonts w:ascii="Times New Roman" w:hAnsi="Times New Roman" w:cs="Times New Roman"/>
          <w:i/>
          <w:iCs/>
        </w:rPr>
        <w:t>Finanční a komoditní deriváty v praxi</w:t>
      </w:r>
      <w:r w:rsidRPr="00C32B38">
        <w:rPr>
          <w:rFonts w:ascii="Times New Roman" w:hAnsi="Times New Roman" w:cs="Times New Roman"/>
        </w:rPr>
        <w:t>. 2. uprav. vyd. Praha: Grada, 2010, 630 s. ISBN 9788024736969. s. 242</w:t>
      </w:r>
    </w:p>
  </w:footnote>
  <w:footnote w:id="83">
    <w:p w:rsidR="00146903" w:rsidRPr="00C32B38" w:rsidRDefault="00146903" w:rsidP="00E124C3">
      <w:pPr>
        <w:pStyle w:val="Textpoznpodarou"/>
        <w:spacing w:line="276" w:lineRule="auto"/>
        <w:jc w:val="both"/>
        <w:rPr>
          <w:rFonts w:ascii="Times New Roman" w:hAnsi="Times New Roman" w:cs="Times New Roman"/>
        </w:rPr>
      </w:pPr>
      <w:r w:rsidRPr="00C32B38">
        <w:rPr>
          <w:rStyle w:val="Znakapoznpodarou"/>
          <w:rFonts w:ascii="Times New Roman" w:hAnsi="Times New Roman" w:cs="Times New Roman"/>
        </w:rPr>
        <w:footnoteRef/>
      </w:r>
      <w:r w:rsidRPr="00C32B38">
        <w:rPr>
          <w:rFonts w:ascii="Times New Roman" w:hAnsi="Times New Roman" w:cs="Times New Roman"/>
        </w:rPr>
        <w:t xml:space="preserve"> JÍLEK, Josef. </w:t>
      </w:r>
      <w:r w:rsidRPr="00C32B38">
        <w:rPr>
          <w:rFonts w:ascii="Times New Roman" w:hAnsi="Times New Roman" w:cs="Times New Roman"/>
          <w:i/>
          <w:iCs/>
        </w:rPr>
        <w:t>Finanční a komoditní deriváty v praxi</w:t>
      </w:r>
      <w:r w:rsidRPr="00C32B38">
        <w:rPr>
          <w:rFonts w:ascii="Times New Roman" w:hAnsi="Times New Roman" w:cs="Times New Roman"/>
        </w:rPr>
        <w:t>. 2. uprav. vyd. Praha: Grada, 2010, 630 s. ISBN 9788024736969. s. 285</w:t>
      </w:r>
    </w:p>
  </w:footnote>
  <w:footnote w:id="84">
    <w:p w:rsidR="00146903" w:rsidRPr="006022E1" w:rsidRDefault="00146903" w:rsidP="00E124C3">
      <w:pPr>
        <w:pStyle w:val="Textpoznpodarou"/>
        <w:spacing w:line="276" w:lineRule="auto"/>
        <w:jc w:val="both"/>
        <w:rPr>
          <w:rFonts w:ascii="Times New Roman" w:hAnsi="Times New Roman" w:cs="Times New Roman"/>
        </w:rPr>
      </w:pPr>
      <w:r w:rsidRPr="00C32B38">
        <w:rPr>
          <w:rStyle w:val="Znakapoznpodarou"/>
          <w:rFonts w:ascii="Times New Roman" w:hAnsi="Times New Roman" w:cs="Times New Roman"/>
        </w:rPr>
        <w:footnoteRef/>
      </w:r>
      <w:r w:rsidRPr="00C32B38">
        <w:rPr>
          <w:rFonts w:ascii="Times New Roman" w:hAnsi="Times New Roman" w:cs="Times New Roman"/>
        </w:rPr>
        <w:t xml:space="preserve"> JÍLEK, Josef. </w:t>
      </w:r>
      <w:r w:rsidRPr="00C32B38">
        <w:rPr>
          <w:rFonts w:ascii="Times New Roman" w:hAnsi="Times New Roman" w:cs="Times New Roman"/>
          <w:i/>
          <w:iCs/>
        </w:rPr>
        <w:t>Finanční a komoditní deriváty v praxi</w:t>
      </w:r>
      <w:r w:rsidRPr="00C32B38">
        <w:rPr>
          <w:rFonts w:ascii="Times New Roman" w:hAnsi="Times New Roman" w:cs="Times New Roman"/>
        </w:rPr>
        <w:t>. 2. uprav. vyd. Praha: Grada, 2010, 630 s. ISBN 9788024736969. s. 287</w:t>
      </w:r>
    </w:p>
  </w:footnote>
  <w:footnote w:id="85">
    <w:p w:rsidR="00146903" w:rsidRPr="00044F0F" w:rsidRDefault="00146903" w:rsidP="00044F0F">
      <w:pPr>
        <w:pStyle w:val="Textpoznpodarou"/>
        <w:spacing w:line="276" w:lineRule="auto"/>
        <w:jc w:val="both"/>
        <w:rPr>
          <w:rFonts w:ascii="Times New Roman" w:hAnsi="Times New Roman" w:cs="Times New Roman"/>
        </w:rPr>
      </w:pPr>
      <w:r w:rsidRPr="00044F0F">
        <w:rPr>
          <w:rStyle w:val="Znakapoznpodarou"/>
          <w:rFonts w:ascii="Times New Roman" w:hAnsi="Times New Roman" w:cs="Times New Roman"/>
        </w:rPr>
        <w:footnoteRef/>
      </w:r>
      <w:r w:rsidRPr="00044F0F">
        <w:rPr>
          <w:rFonts w:ascii="Times New Roman" w:hAnsi="Times New Roman" w:cs="Times New Roman"/>
        </w:rPr>
        <w:t xml:space="preserve"> Jedná se především o úrokové, měnové a devizové swapy</w:t>
      </w:r>
    </w:p>
  </w:footnote>
  <w:footnote w:id="86">
    <w:p w:rsidR="00146903" w:rsidRPr="00044F0F" w:rsidRDefault="00146903" w:rsidP="00044F0F">
      <w:pPr>
        <w:pStyle w:val="Textpoznpodarou"/>
        <w:spacing w:line="276" w:lineRule="auto"/>
        <w:jc w:val="both"/>
        <w:rPr>
          <w:rFonts w:ascii="Times New Roman" w:hAnsi="Times New Roman" w:cs="Times New Roman"/>
        </w:rPr>
      </w:pPr>
      <w:r w:rsidRPr="00044F0F">
        <w:rPr>
          <w:rStyle w:val="Znakapoznpodarou"/>
          <w:rFonts w:ascii="Times New Roman" w:hAnsi="Times New Roman" w:cs="Times New Roman"/>
        </w:rPr>
        <w:footnoteRef/>
      </w:r>
      <w:r w:rsidRPr="00044F0F">
        <w:rPr>
          <w:rFonts w:ascii="Times New Roman" w:hAnsi="Times New Roman" w:cs="Times New Roman"/>
        </w:rPr>
        <w:t xml:space="preserve"> International swaps and derivatives association, Inc.</w:t>
      </w:r>
    </w:p>
  </w:footnote>
  <w:footnote w:id="87">
    <w:p w:rsidR="00146903" w:rsidRPr="00044F0F" w:rsidRDefault="00146903" w:rsidP="00044F0F">
      <w:pPr>
        <w:pStyle w:val="Textpoznpodarou"/>
        <w:spacing w:line="276" w:lineRule="auto"/>
        <w:jc w:val="both"/>
        <w:rPr>
          <w:rFonts w:ascii="Times New Roman" w:hAnsi="Times New Roman" w:cs="Times New Roman"/>
        </w:rPr>
      </w:pPr>
      <w:r w:rsidRPr="00044F0F">
        <w:rPr>
          <w:rStyle w:val="Znakapoznpodarou"/>
          <w:rFonts w:ascii="Times New Roman" w:hAnsi="Times New Roman" w:cs="Times New Roman"/>
        </w:rPr>
        <w:footnoteRef/>
      </w:r>
      <w:r w:rsidRPr="00044F0F">
        <w:rPr>
          <w:rFonts w:ascii="Times New Roman" w:hAnsi="Times New Roman" w:cs="Times New Roman"/>
        </w:rPr>
        <w:t xml:space="preserve"> JÍLEK, Josef. </w:t>
      </w:r>
      <w:r w:rsidRPr="00044F0F">
        <w:rPr>
          <w:rFonts w:ascii="Times New Roman" w:hAnsi="Times New Roman" w:cs="Times New Roman"/>
          <w:i/>
          <w:iCs/>
        </w:rPr>
        <w:t>Finanční a komoditní deriváty v praxi</w:t>
      </w:r>
      <w:r w:rsidRPr="00044F0F">
        <w:rPr>
          <w:rFonts w:ascii="Times New Roman" w:hAnsi="Times New Roman" w:cs="Times New Roman"/>
        </w:rPr>
        <w:t>. 2. uprav. vyd. Praha: Grada, 2010, 630 s. ISBN 9788024736969. s. 321</w:t>
      </w:r>
    </w:p>
  </w:footnote>
  <w:footnote w:id="88">
    <w:p w:rsidR="00146903" w:rsidRPr="00044F0F" w:rsidRDefault="00146903" w:rsidP="00D37322">
      <w:pPr>
        <w:pStyle w:val="Textpoznpodarou"/>
        <w:spacing w:line="276" w:lineRule="auto"/>
        <w:jc w:val="both"/>
        <w:rPr>
          <w:rFonts w:ascii="Times New Roman" w:hAnsi="Times New Roman" w:cs="Times New Roman"/>
        </w:rPr>
      </w:pPr>
      <w:r w:rsidRPr="00044F0F">
        <w:rPr>
          <w:rStyle w:val="Znakapoznpodarou"/>
          <w:rFonts w:ascii="Times New Roman" w:hAnsi="Times New Roman" w:cs="Times New Roman"/>
        </w:rPr>
        <w:footnoteRef/>
      </w:r>
      <w:r w:rsidRPr="00044F0F">
        <w:rPr>
          <w:rFonts w:ascii="Times New Roman" w:hAnsi="Times New Roman" w:cs="Times New Roman"/>
        </w:rPr>
        <w:t xml:space="preserve"> JÍLEK, Josef. </w:t>
      </w:r>
      <w:r w:rsidRPr="00044F0F">
        <w:rPr>
          <w:rFonts w:ascii="Times New Roman" w:hAnsi="Times New Roman" w:cs="Times New Roman"/>
          <w:i/>
          <w:iCs/>
        </w:rPr>
        <w:t>Finanční a komoditní deriváty v praxi</w:t>
      </w:r>
      <w:r w:rsidRPr="00044F0F">
        <w:rPr>
          <w:rFonts w:ascii="Times New Roman" w:hAnsi="Times New Roman" w:cs="Times New Roman"/>
        </w:rPr>
        <w:t>. 2. uprav. vyd. Praha: Grada, 2010, 630 s. ISBN 9788024736969. s. 366</w:t>
      </w:r>
    </w:p>
  </w:footnote>
  <w:footnote w:id="89">
    <w:p w:rsidR="00146903" w:rsidRPr="00FA7439" w:rsidRDefault="00146903" w:rsidP="00044F0F">
      <w:pPr>
        <w:pStyle w:val="Textpoznpodarou"/>
        <w:spacing w:line="276" w:lineRule="auto"/>
        <w:jc w:val="both"/>
      </w:pPr>
      <w:r w:rsidRPr="00FA7439">
        <w:rPr>
          <w:rStyle w:val="Znakapoznpodarou"/>
          <w:rFonts w:ascii="Times New Roman" w:hAnsi="Times New Roman" w:cs="Times New Roman"/>
        </w:rPr>
        <w:footnoteRef/>
      </w:r>
      <w:r w:rsidRPr="00FA7439">
        <w:rPr>
          <w:rFonts w:ascii="Times New Roman" w:hAnsi="Times New Roman" w:cs="Times New Roman"/>
        </w:rPr>
        <w:t xml:space="preserve"> </w:t>
      </w:r>
      <w:r w:rsidRPr="00FA7439">
        <w:rPr>
          <w:rFonts w:ascii="Times New Roman" w:hAnsi="Times New Roman" w:cs="Times New Roman"/>
          <w:iCs/>
        </w:rPr>
        <w:t>BANK FOR INTERNATIONAL SETTLEMENTS: BIS Quarterly Review, December 2012.</w:t>
      </w:r>
      <w:r w:rsidRPr="00FA7439">
        <w:rPr>
          <w:rFonts w:ascii="Times New Roman" w:hAnsi="Times New Roman" w:cs="Times New Roman"/>
          <w:i/>
          <w:iCs/>
        </w:rPr>
        <w:t xml:space="preserve"> Bank for International Settlements </w:t>
      </w:r>
      <w:r w:rsidRPr="00FA7439">
        <w:rPr>
          <w:rFonts w:ascii="Times New Roman" w:hAnsi="Times New Roman" w:cs="Times New Roman"/>
        </w:rPr>
        <w:t>[online]. 2012 [cit. 2013-01-26]. Dostupné na WWW: &lt;http://www.bis.org/publ/qtrpdf/r_qa1212.pdf&gt;</w:t>
      </w:r>
    </w:p>
  </w:footnote>
  <w:footnote w:id="90">
    <w:p w:rsidR="00146903" w:rsidRPr="00F478FD" w:rsidRDefault="00146903" w:rsidP="00B30899">
      <w:pPr>
        <w:pStyle w:val="Textpoznpodarou"/>
        <w:spacing w:line="276" w:lineRule="auto"/>
        <w:jc w:val="both"/>
        <w:rPr>
          <w:rFonts w:ascii="Times New Roman" w:hAnsi="Times New Roman" w:cs="Times New Roman"/>
        </w:rPr>
      </w:pPr>
      <w:r w:rsidRPr="00B30899">
        <w:rPr>
          <w:rStyle w:val="Znakapoznpodarou"/>
          <w:rFonts w:ascii="Times New Roman" w:hAnsi="Times New Roman" w:cs="Times New Roman"/>
        </w:rPr>
        <w:footnoteRef/>
      </w:r>
      <w:r w:rsidRPr="00B30899">
        <w:rPr>
          <w:rFonts w:ascii="Times New Roman" w:hAnsi="Times New Roman" w:cs="Times New Roman"/>
        </w:rPr>
        <w:t xml:space="preserve"> REJNUŠ, Oldřich. </w:t>
      </w:r>
      <w:r w:rsidRPr="00B30899">
        <w:rPr>
          <w:rFonts w:ascii="Times New Roman" w:hAnsi="Times New Roman" w:cs="Times New Roman"/>
          <w:i/>
          <w:iCs/>
        </w:rPr>
        <w:t>Finanční trhy</w:t>
      </w:r>
      <w:r w:rsidRPr="00B30899">
        <w:rPr>
          <w:rFonts w:ascii="Times New Roman" w:hAnsi="Times New Roman" w:cs="Times New Roman"/>
        </w:rPr>
        <w:t>. 3. rozš. vyd. Ostrava: Key Publishing, 2011, 689 s. ISBN 9788074181283. s. 471</w:t>
      </w:r>
    </w:p>
  </w:footnote>
  <w:footnote w:id="91">
    <w:p w:rsidR="00146903" w:rsidRPr="00F478FD" w:rsidRDefault="00146903" w:rsidP="00423A97">
      <w:pPr>
        <w:pStyle w:val="Textpoznpodarou"/>
        <w:spacing w:line="276" w:lineRule="auto"/>
        <w:jc w:val="both"/>
        <w:rPr>
          <w:rFonts w:ascii="Times New Roman" w:hAnsi="Times New Roman" w:cs="Times New Roman"/>
        </w:rPr>
      </w:pPr>
      <w:r w:rsidRPr="00F478FD">
        <w:rPr>
          <w:rStyle w:val="Znakapoznpodarou"/>
          <w:rFonts w:ascii="Times New Roman" w:hAnsi="Times New Roman" w:cs="Times New Roman"/>
        </w:rPr>
        <w:footnoteRef/>
      </w:r>
      <w:r w:rsidRPr="00F478FD">
        <w:rPr>
          <w:rFonts w:ascii="Times New Roman" w:hAnsi="Times New Roman" w:cs="Times New Roman"/>
        </w:rPr>
        <w:t xml:space="preserve"> Například tříměsíční a šestiměsíční LIBOR.</w:t>
      </w:r>
    </w:p>
  </w:footnote>
  <w:footnote w:id="92">
    <w:p w:rsidR="00146903" w:rsidRPr="00E3304D" w:rsidRDefault="00146903" w:rsidP="003B1F85">
      <w:pPr>
        <w:pStyle w:val="Textpoznpodarou"/>
        <w:spacing w:line="276" w:lineRule="auto"/>
        <w:jc w:val="both"/>
        <w:rPr>
          <w:rFonts w:ascii="Times New Roman" w:hAnsi="Times New Roman" w:cs="Times New Roman"/>
        </w:rPr>
      </w:pPr>
      <w:r w:rsidRPr="00E3304D">
        <w:rPr>
          <w:rStyle w:val="Znakapoznpodarou"/>
          <w:rFonts w:ascii="Times New Roman" w:hAnsi="Times New Roman" w:cs="Times New Roman"/>
        </w:rPr>
        <w:footnoteRef/>
      </w:r>
      <w:r w:rsidRPr="00E3304D">
        <w:rPr>
          <w:rFonts w:ascii="Times New Roman" w:hAnsi="Times New Roman" w:cs="Times New Roman"/>
        </w:rPr>
        <w:t xml:space="preserve"> REJNUŠ, Oldřich. </w:t>
      </w:r>
      <w:r w:rsidRPr="00E3304D">
        <w:rPr>
          <w:rFonts w:ascii="Times New Roman" w:hAnsi="Times New Roman" w:cs="Times New Roman"/>
          <w:i/>
          <w:iCs/>
        </w:rPr>
        <w:t>Finanční trhy</w:t>
      </w:r>
      <w:r w:rsidRPr="00E3304D">
        <w:rPr>
          <w:rFonts w:ascii="Times New Roman" w:hAnsi="Times New Roman" w:cs="Times New Roman"/>
        </w:rPr>
        <w:t>. 3. rozš. vyd. Ostrava: Key Publishing, 2011, 689 s. ISBN 9788074181283. s. 473</w:t>
      </w:r>
    </w:p>
  </w:footnote>
  <w:footnote w:id="93">
    <w:p w:rsidR="00146903" w:rsidRPr="00F07151" w:rsidRDefault="00146903" w:rsidP="003B1F85">
      <w:pPr>
        <w:pStyle w:val="Textpoznpodarou"/>
        <w:spacing w:line="276" w:lineRule="auto"/>
        <w:jc w:val="both"/>
        <w:rPr>
          <w:rFonts w:ascii="Times New Roman" w:hAnsi="Times New Roman" w:cs="Times New Roman"/>
        </w:rPr>
      </w:pPr>
      <w:r w:rsidRPr="00F07151">
        <w:rPr>
          <w:rStyle w:val="Znakapoznpodarou"/>
          <w:rFonts w:ascii="Times New Roman" w:hAnsi="Times New Roman" w:cs="Times New Roman"/>
        </w:rPr>
        <w:footnoteRef/>
      </w:r>
      <w:r w:rsidRPr="00F07151">
        <w:rPr>
          <w:rFonts w:ascii="Times New Roman" w:hAnsi="Times New Roman" w:cs="Times New Roman"/>
        </w:rPr>
        <w:t xml:space="preserve"> </w:t>
      </w:r>
      <w:r>
        <w:rPr>
          <w:rFonts w:ascii="Times New Roman" w:hAnsi="Times New Roman" w:cs="Times New Roman"/>
        </w:rPr>
        <w:t>KOMERČNÍ BANKA: Měnový swap.</w:t>
      </w:r>
      <w:r w:rsidRPr="00F07151">
        <w:rPr>
          <w:rFonts w:ascii="Times New Roman" w:hAnsi="Times New Roman" w:cs="Times New Roman"/>
        </w:rPr>
        <w:t xml:space="preserve"> </w:t>
      </w:r>
      <w:r w:rsidRPr="00F07151">
        <w:rPr>
          <w:rFonts w:ascii="Times New Roman" w:hAnsi="Times New Roman" w:cs="Times New Roman"/>
          <w:i/>
          <w:iCs/>
        </w:rPr>
        <w:t>Komerční banka</w:t>
      </w:r>
      <w:r w:rsidRPr="00F07151">
        <w:rPr>
          <w:rFonts w:ascii="Times New Roman" w:hAnsi="Times New Roman" w:cs="Times New Roman"/>
        </w:rPr>
        <w:t xml:space="preserve"> [online]. [cit. 2013-04-04]. Dostupné </w:t>
      </w:r>
      <w:r>
        <w:rPr>
          <w:rFonts w:ascii="Times New Roman" w:hAnsi="Times New Roman" w:cs="Times New Roman"/>
        </w:rPr>
        <w:t>na WWW</w:t>
      </w:r>
      <w:r w:rsidRPr="00F07151">
        <w:rPr>
          <w:rFonts w:ascii="Times New Roman" w:hAnsi="Times New Roman" w:cs="Times New Roman"/>
        </w:rPr>
        <w:t>: &lt;http://www.kb.cz/cs/verejna-sprava/zajisteni/menovy-swap.shtml&gt;</w:t>
      </w:r>
    </w:p>
  </w:footnote>
  <w:footnote w:id="94">
    <w:p w:rsidR="00146903" w:rsidRPr="00EB3820" w:rsidRDefault="00146903" w:rsidP="003B1F85">
      <w:pPr>
        <w:spacing w:line="276" w:lineRule="auto"/>
        <w:jc w:val="both"/>
      </w:pPr>
      <w:r w:rsidRPr="00E3304D">
        <w:rPr>
          <w:rStyle w:val="Znakapoznpodarou"/>
          <w:sz w:val="20"/>
          <w:szCs w:val="20"/>
        </w:rPr>
        <w:footnoteRef/>
      </w:r>
      <w:r w:rsidRPr="00E3304D">
        <w:rPr>
          <w:sz w:val="20"/>
          <w:szCs w:val="20"/>
        </w:rPr>
        <w:t xml:space="preserve"> </w:t>
      </w:r>
      <w:r w:rsidRPr="00E3304D">
        <w:rPr>
          <w:sz w:val="20"/>
          <w:szCs w:val="20"/>
          <w:lang w:eastAsia="cs-CZ"/>
        </w:rPr>
        <w:t xml:space="preserve">DVOŘÁK, Petr. </w:t>
      </w:r>
      <w:r w:rsidRPr="00E3304D">
        <w:rPr>
          <w:i/>
          <w:iCs/>
          <w:sz w:val="20"/>
          <w:szCs w:val="20"/>
          <w:lang w:eastAsia="cs-CZ"/>
        </w:rPr>
        <w:t>Přednášky z finančních derivátů</w:t>
      </w:r>
      <w:r w:rsidRPr="00E3304D">
        <w:rPr>
          <w:sz w:val="20"/>
          <w:szCs w:val="20"/>
          <w:lang w:eastAsia="cs-CZ"/>
        </w:rPr>
        <w:t xml:space="preserve">. Vyd. 1. V Praze: Vysoká škola ekonomická v Praze, 2000, 123 s. ISBN 8024501031. s. </w:t>
      </w:r>
      <w:r w:rsidRPr="00E3304D">
        <w:rPr>
          <w:sz w:val="20"/>
          <w:szCs w:val="20"/>
        </w:rPr>
        <w:t>67</w:t>
      </w:r>
    </w:p>
  </w:footnote>
  <w:footnote w:id="95">
    <w:p w:rsidR="00146903" w:rsidRPr="00ED56BD" w:rsidRDefault="00146903" w:rsidP="00C40701">
      <w:pPr>
        <w:pStyle w:val="Textpoznpodarou"/>
        <w:spacing w:line="276" w:lineRule="auto"/>
        <w:jc w:val="both"/>
        <w:rPr>
          <w:rFonts w:ascii="Times New Roman" w:hAnsi="Times New Roman" w:cs="Times New Roman"/>
        </w:rPr>
      </w:pPr>
      <w:r w:rsidRPr="00ED56BD">
        <w:rPr>
          <w:rStyle w:val="Znakapoznpodarou"/>
          <w:rFonts w:ascii="Times New Roman" w:hAnsi="Times New Roman" w:cs="Times New Roman"/>
        </w:rPr>
        <w:footnoteRef/>
      </w:r>
      <w:r w:rsidRPr="00ED56BD">
        <w:rPr>
          <w:rFonts w:ascii="Times New Roman" w:hAnsi="Times New Roman" w:cs="Times New Roman"/>
        </w:rPr>
        <w:t xml:space="preserve"> </w:t>
      </w:r>
      <w:r w:rsidRPr="00ED56BD">
        <w:rPr>
          <w:rFonts w:ascii="Times New Roman" w:hAnsi="Times New Roman" w:cs="Times New Roman"/>
          <w:lang w:eastAsia="cs-CZ"/>
        </w:rPr>
        <w:t xml:space="preserve">DVOŘÁK, Petr. </w:t>
      </w:r>
      <w:r w:rsidRPr="00ED56BD">
        <w:rPr>
          <w:rFonts w:ascii="Times New Roman" w:hAnsi="Times New Roman" w:cs="Times New Roman"/>
          <w:i/>
          <w:iCs/>
          <w:lang w:eastAsia="cs-CZ"/>
        </w:rPr>
        <w:t>Přednášky z finančních derivátů</w:t>
      </w:r>
      <w:r w:rsidRPr="00ED56BD">
        <w:rPr>
          <w:rFonts w:ascii="Times New Roman" w:hAnsi="Times New Roman" w:cs="Times New Roman"/>
          <w:lang w:eastAsia="cs-CZ"/>
        </w:rPr>
        <w:t xml:space="preserve">. Vyd. 1. V Praze: Vysoká škola ekonomická v Praze, 2000, 123 s. ISBN 8024501031. s. </w:t>
      </w:r>
      <w:r w:rsidRPr="00ED56BD">
        <w:rPr>
          <w:rFonts w:ascii="Times New Roman" w:hAnsi="Times New Roman" w:cs="Times New Roman"/>
        </w:rPr>
        <w:t>68</w:t>
      </w:r>
    </w:p>
  </w:footnote>
  <w:footnote w:id="96">
    <w:p w:rsidR="00146903" w:rsidRDefault="00146903" w:rsidP="00983150">
      <w:pPr>
        <w:pStyle w:val="Textpoznpodarou"/>
        <w:spacing w:line="276" w:lineRule="auto"/>
        <w:jc w:val="both"/>
      </w:pPr>
      <w:r w:rsidRPr="006E0719">
        <w:rPr>
          <w:rStyle w:val="Znakapoznpodarou"/>
          <w:rFonts w:ascii="Times New Roman" w:hAnsi="Times New Roman" w:cs="Times New Roman"/>
        </w:rPr>
        <w:footnoteRef/>
      </w:r>
      <w:r w:rsidRPr="006E0719">
        <w:rPr>
          <w:rFonts w:ascii="Times New Roman" w:hAnsi="Times New Roman" w:cs="Times New Roman"/>
        </w:rPr>
        <w:t xml:space="preserve"> Clearingové centrum i v případě opcí vyžaduje po investorech složení počáteční marže. Tu však u opcí skládá pouze prodávající opce. Kupující opce při sjednání kontraktu </w:t>
      </w:r>
      <w:r>
        <w:rPr>
          <w:rFonts w:ascii="Times New Roman" w:hAnsi="Times New Roman" w:cs="Times New Roman"/>
        </w:rPr>
        <w:t>platí</w:t>
      </w:r>
      <w:r w:rsidRPr="006E0719">
        <w:rPr>
          <w:rFonts w:ascii="Times New Roman" w:hAnsi="Times New Roman" w:cs="Times New Roman"/>
        </w:rPr>
        <w:t xml:space="preserve"> </w:t>
      </w:r>
      <w:r>
        <w:rPr>
          <w:rFonts w:ascii="Times New Roman" w:hAnsi="Times New Roman" w:cs="Times New Roman"/>
        </w:rPr>
        <w:t xml:space="preserve">prodávajícímu </w:t>
      </w:r>
      <w:r w:rsidRPr="006E0719">
        <w:rPr>
          <w:rFonts w:ascii="Times New Roman" w:hAnsi="Times New Roman" w:cs="Times New Roman"/>
        </w:rPr>
        <w:t xml:space="preserve">opční prémii, a je tak zbaven povinnosti své pozice dále zajišťovat. Pokud </w:t>
      </w:r>
      <w:r>
        <w:rPr>
          <w:rFonts w:ascii="Times New Roman" w:hAnsi="Times New Roman" w:cs="Times New Roman"/>
        </w:rPr>
        <w:t>dojde k </w:t>
      </w:r>
      <w:r w:rsidRPr="006E0719">
        <w:rPr>
          <w:rFonts w:ascii="Times New Roman" w:hAnsi="Times New Roman" w:cs="Times New Roman"/>
        </w:rPr>
        <w:t>prodej</w:t>
      </w:r>
      <w:r>
        <w:rPr>
          <w:rFonts w:ascii="Times New Roman" w:hAnsi="Times New Roman" w:cs="Times New Roman"/>
        </w:rPr>
        <w:t>i takzvané</w:t>
      </w:r>
      <w:r w:rsidRPr="006E0719">
        <w:rPr>
          <w:rFonts w:ascii="Times New Roman" w:hAnsi="Times New Roman" w:cs="Times New Roman"/>
        </w:rPr>
        <w:t xml:space="preserve"> kryté kupní opce,</w:t>
      </w:r>
      <w:r>
        <w:rPr>
          <w:rFonts w:ascii="Times New Roman" w:hAnsi="Times New Roman" w:cs="Times New Roman"/>
        </w:rPr>
        <w:t xml:space="preserve"> tzn.  pokud prodávající opce vlastní předmětné podkladové aktivum, pak</w:t>
      </w:r>
      <w:r w:rsidRPr="006E0719">
        <w:rPr>
          <w:rFonts w:ascii="Times New Roman" w:hAnsi="Times New Roman" w:cs="Times New Roman"/>
        </w:rPr>
        <w:t xml:space="preserve"> </w:t>
      </w:r>
      <w:r>
        <w:rPr>
          <w:rFonts w:ascii="Times New Roman" w:hAnsi="Times New Roman" w:cs="Times New Roman"/>
        </w:rPr>
        <w:t xml:space="preserve">může být prodávající opce </w:t>
      </w:r>
      <w:r w:rsidRPr="006E0719">
        <w:rPr>
          <w:rFonts w:ascii="Times New Roman" w:hAnsi="Times New Roman" w:cs="Times New Roman"/>
        </w:rPr>
        <w:t>zbaven povinnosti skládat počáteční marž</w:t>
      </w:r>
      <w:r>
        <w:rPr>
          <w:rFonts w:ascii="Times New Roman" w:hAnsi="Times New Roman" w:cs="Times New Roman"/>
        </w:rPr>
        <w:t>i ve formě peněžních prostředků a postačí uložení jeho aktiv u brokerské společnosti</w:t>
      </w:r>
      <w:r w:rsidRPr="006E0719">
        <w:rPr>
          <w:rFonts w:ascii="Times New Roman" w:hAnsi="Times New Roman" w:cs="Times New Roman"/>
        </w:rPr>
        <w:t>. V jiných případech je</w:t>
      </w:r>
      <w:r>
        <w:rPr>
          <w:rFonts w:ascii="Times New Roman" w:hAnsi="Times New Roman" w:cs="Times New Roman"/>
        </w:rPr>
        <w:t> </w:t>
      </w:r>
      <w:r w:rsidRPr="006E0719">
        <w:rPr>
          <w:rFonts w:ascii="Times New Roman" w:hAnsi="Times New Roman" w:cs="Times New Roman"/>
        </w:rPr>
        <w:t>splacení depozita požadováno.</w:t>
      </w:r>
    </w:p>
  </w:footnote>
  <w:footnote w:id="97">
    <w:p w:rsidR="00146903" w:rsidRPr="000D27E4" w:rsidRDefault="00146903" w:rsidP="000D27E4">
      <w:pPr>
        <w:spacing w:line="276" w:lineRule="auto"/>
        <w:jc w:val="both"/>
        <w:rPr>
          <w:sz w:val="20"/>
          <w:szCs w:val="20"/>
        </w:rPr>
      </w:pPr>
      <w:r w:rsidRPr="000D27E4">
        <w:rPr>
          <w:rStyle w:val="Znakapoznpodarou"/>
          <w:sz w:val="20"/>
          <w:szCs w:val="20"/>
        </w:rPr>
        <w:footnoteRef/>
      </w:r>
      <w:r w:rsidRPr="000D27E4">
        <w:rPr>
          <w:sz w:val="20"/>
          <w:szCs w:val="20"/>
        </w:rPr>
        <w:t xml:space="preserve"> </w:t>
      </w:r>
      <w:r w:rsidRPr="000D27E4">
        <w:rPr>
          <w:sz w:val="20"/>
          <w:szCs w:val="20"/>
          <w:lang w:eastAsia="cs-CZ"/>
        </w:rPr>
        <w:t xml:space="preserve">DVOŘÁK, Petr. </w:t>
      </w:r>
      <w:r w:rsidRPr="000D27E4">
        <w:rPr>
          <w:i/>
          <w:iCs/>
          <w:sz w:val="20"/>
          <w:szCs w:val="20"/>
          <w:lang w:eastAsia="cs-CZ"/>
        </w:rPr>
        <w:t>Deriváty</w:t>
      </w:r>
      <w:r w:rsidRPr="000D27E4">
        <w:rPr>
          <w:sz w:val="20"/>
          <w:szCs w:val="20"/>
          <w:lang w:eastAsia="cs-CZ"/>
        </w:rPr>
        <w:t>. Vyd. 2., přeprac. V Praze: Oeconomica, 2008, 297 s. ISBN 978-80-245-1435-2. s. </w:t>
      </w:r>
      <w:r w:rsidRPr="000D27E4">
        <w:rPr>
          <w:sz w:val="20"/>
          <w:szCs w:val="20"/>
        </w:rPr>
        <w:t>193</w:t>
      </w:r>
    </w:p>
  </w:footnote>
  <w:footnote w:id="98">
    <w:p w:rsidR="00146903" w:rsidRPr="000D27E4" w:rsidRDefault="00146903" w:rsidP="000D27E4">
      <w:pPr>
        <w:pStyle w:val="Textpoznpodarou"/>
        <w:spacing w:line="276" w:lineRule="auto"/>
        <w:jc w:val="both"/>
        <w:rPr>
          <w:rFonts w:ascii="Times New Roman" w:hAnsi="Times New Roman" w:cs="Times New Roman"/>
        </w:rPr>
      </w:pPr>
      <w:r w:rsidRPr="000D27E4">
        <w:rPr>
          <w:rStyle w:val="Znakapoznpodarou"/>
          <w:rFonts w:ascii="Times New Roman" w:hAnsi="Times New Roman" w:cs="Times New Roman"/>
        </w:rPr>
        <w:footnoteRef/>
      </w:r>
      <w:r w:rsidRPr="000D27E4">
        <w:rPr>
          <w:rFonts w:ascii="Times New Roman" w:hAnsi="Times New Roman" w:cs="Times New Roman"/>
        </w:rPr>
        <w:t xml:space="preserve"> Geografické názvy opcí jsou zakořeněny v historickém původu. Z názvů však nemůžeme dovozovat závěry o místu obchodování jednotlivých opcí. Americké i evropské opce jsou obchodovány celosvětově.</w:t>
      </w:r>
    </w:p>
  </w:footnote>
  <w:footnote w:id="99">
    <w:p w:rsidR="00146903" w:rsidRPr="00FA7439" w:rsidRDefault="00146903" w:rsidP="000D27E4">
      <w:pPr>
        <w:pStyle w:val="Textpoznpodarou"/>
        <w:spacing w:line="276" w:lineRule="auto"/>
        <w:jc w:val="both"/>
      </w:pPr>
      <w:r w:rsidRPr="00FA7439">
        <w:rPr>
          <w:rStyle w:val="Znakapoznpodarou"/>
          <w:rFonts w:ascii="Times New Roman" w:hAnsi="Times New Roman" w:cs="Times New Roman"/>
        </w:rPr>
        <w:footnoteRef/>
      </w:r>
      <w:r w:rsidRPr="00FA7439">
        <w:rPr>
          <w:rFonts w:ascii="Times New Roman" w:hAnsi="Times New Roman" w:cs="Times New Roman"/>
        </w:rPr>
        <w:t xml:space="preserve"> </w:t>
      </w:r>
      <w:r w:rsidRPr="00FA7439">
        <w:rPr>
          <w:rFonts w:ascii="Times New Roman" w:hAnsi="Times New Roman" w:cs="Times New Roman"/>
          <w:iCs/>
        </w:rPr>
        <w:t>BANK FOR INTERNATIONAL SETTLEMENTS: BIS Quarterly Review, December 2012.</w:t>
      </w:r>
      <w:r w:rsidRPr="00FA7439">
        <w:rPr>
          <w:rFonts w:ascii="Times New Roman" w:hAnsi="Times New Roman" w:cs="Times New Roman"/>
          <w:i/>
          <w:iCs/>
        </w:rPr>
        <w:t xml:space="preserve"> Bank for International Settlements</w:t>
      </w:r>
      <w:r w:rsidRPr="00FA7439">
        <w:rPr>
          <w:rFonts w:ascii="Times New Roman" w:hAnsi="Times New Roman" w:cs="Times New Roman"/>
        </w:rPr>
        <w:t xml:space="preserve"> [online]. 2012 [cit. 2013-01-26]. Dostupné na WWW: &lt;</w:t>
      </w:r>
      <w:r w:rsidRPr="00FA7439">
        <w:rPr>
          <w:rFonts w:ascii="Times New Roman" w:eastAsiaTheme="majorEastAsia" w:hAnsi="Times New Roman" w:cs="Times New Roman"/>
        </w:rPr>
        <w:t>http://www.bis.org/publ/qtrpdf/r_qa1212.pdf</w:t>
      </w:r>
      <w:r w:rsidRPr="00FA7439">
        <w:rPr>
          <w:rFonts w:ascii="Times New Roman" w:hAnsi="Times New Roman" w:cs="Times New Roman"/>
        </w:rPr>
        <w:t>&gt;</w:t>
      </w:r>
    </w:p>
  </w:footnote>
  <w:footnote w:id="100">
    <w:p w:rsidR="00146903" w:rsidRDefault="00146903" w:rsidP="00B54D46">
      <w:pPr>
        <w:spacing w:line="276" w:lineRule="auto"/>
        <w:jc w:val="both"/>
        <w:rPr>
          <w:lang w:eastAsia="cs-CZ"/>
        </w:rPr>
      </w:pPr>
      <w:r w:rsidRPr="00B54D46">
        <w:rPr>
          <w:rStyle w:val="Znakapoznpodarou"/>
          <w:sz w:val="20"/>
        </w:rPr>
        <w:footnoteRef/>
      </w:r>
      <w:r w:rsidRPr="00B54D46">
        <w:rPr>
          <w:sz w:val="20"/>
        </w:rPr>
        <w:t xml:space="preserve"> </w:t>
      </w:r>
      <w:r w:rsidRPr="00B54D46">
        <w:rPr>
          <w:sz w:val="20"/>
          <w:lang w:eastAsia="cs-CZ"/>
        </w:rPr>
        <w:t xml:space="preserve">MISHKIN, Frederic S a Stanley G EAKINS. </w:t>
      </w:r>
      <w:r w:rsidRPr="00B54D46">
        <w:rPr>
          <w:i/>
          <w:iCs/>
          <w:sz w:val="20"/>
          <w:lang w:eastAsia="cs-CZ"/>
        </w:rPr>
        <w:t>Financial markets and institutions</w:t>
      </w:r>
      <w:r w:rsidRPr="00B54D46">
        <w:rPr>
          <w:sz w:val="20"/>
          <w:lang w:eastAsia="cs-CZ"/>
        </w:rPr>
        <w:t>. 6th ed. Boston: Pearson Prentice Hall, c2009, xxxix, 675 s. ISBN 9780321374219. s 657</w:t>
      </w:r>
    </w:p>
  </w:footnote>
  <w:footnote w:id="101">
    <w:p w:rsidR="00146903" w:rsidRPr="005A0139" w:rsidRDefault="00146903" w:rsidP="00983150">
      <w:pPr>
        <w:pStyle w:val="Textpoznpodarou"/>
        <w:spacing w:line="276" w:lineRule="auto"/>
        <w:jc w:val="both"/>
        <w:rPr>
          <w:rFonts w:ascii="Times New Roman" w:hAnsi="Times New Roman" w:cs="Times New Roman"/>
        </w:rPr>
      </w:pPr>
      <w:r w:rsidRPr="005A0139">
        <w:rPr>
          <w:rStyle w:val="Znakapoznpodarou"/>
          <w:rFonts w:ascii="Times New Roman" w:hAnsi="Times New Roman" w:cs="Times New Roman"/>
        </w:rPr>
        <w:footnoteRef/>
      </w:r>
      <w:r w:rsidRPr="005A0139">
        <w:rPr>
          <w:rFonts w:ascii="Times New Roman" w:hAnsi="Times New Roman" w:cs="Times New Roman"/>
        </w:rPr>
        <w:t xml:space="preserve"> DVOŘÁK, Petr. </w:t>
      </w:r>
      <w:r w:rsidRPr="005A0139">
        <w:rPr>
          <w:rFonts w:ascii="Times New Roman" w:hAnsi="Times New Roman" w:cs="Times New Roman"/>
          <w:i/>
          <w:iCs/>
        </w:rPr>
        <w:t>Deriváty</w:t>
      </w:r>
      <w:r w:rsidRPr="005A0139">
        <w:rPr>
          <w:rFonts w:ascii="Times New Roman" w:hAnsi="Times New Roman" w:cs="Times New Roman"/>
        </w:rPr>
        <w:t>. Vyd. 2., přeprac. V Praze: Oeconomica, 2008, 297 s. ISBN 9788024514352. s.</w:t>
      </w:r>
      <w:r>
        <w:rPr>
          <w:rFonts w:ascii="Times New Roman" w:hAnsi="Times New Roman" w:cs="Times New Roman"/>
        </w:rPr>
        <w:t> </w:t>
      </w:r>
      <w:r w:rsidRPr="005A0139">
        <w:rPr>
          <w:rFonts w:ascii="Times New Roman" w:hAnsi="Times New Roman" w:cs="Times New Roman"/>
        </w:rPr>
        <w:t>212</w:t>
      </w:r>
    </w:p>
  </w:footnote>
  <w:footnote w:id="102">
    <w:p w:rsidR="00146903" w:rsidRPr="002069ED" w:rsidRDefault="00146903" w:rsidP="00983150">
      <w:pPr>
        <w:pStyle w:val="Textpoznpodarou"/>
        <w:spacing w:line="276" w:lineRule="auto"/>
        <w:jc w:val="both"/>
        <w:rPr>
          <w:rFonts w:ascii="Times New Roman" w:hAnsi="Times New Roman" w:cs="Times New Roman"/>
        </w:rPr>
      </w:pPr>
      <w:r w:rsidRPr="002069ED">
        <w:rPr>
          <w:rStyle w:val="Znakapoznpodarou"/>
          <w:rFonts w:ascii="Times New Roman" w:hAnsi="Times New Roman" w:cs="Times New Roman"/>
        </w:rPr>
        <w:footnoteRef/>
      </w:r>
      <w:r w:rsidRPr="002069ED">
        <w:rPr>
          <w:rFonts w:ascii="Times New Roman" w:hAnsi="Times New Roman" w:cs="Times New Roman"/>
        </w:rPr>
        <w:t xml:space="preserve"> DVOŘÁK, Petr. </w:t>
      </w:r>
      <w:r w:rsidRPr="002069ED">
        <w:rPr>
          <w:rFonts w:ascii="Times New Roman" w:hAnsi="Times New Roman" w:cs="Times New Roman"/>
          <w:i/>
          <w:iCs/>
        </w:rPr>
        <w:t>Deriváty</w:t>
      </w:r>
      <w:r w:rsidRPr="002069ED">
        <w:rPr>
          <w:rFonts w:ascii="Times New Roman" w:hAnsi="Times New Roman" w:cs="Times New Roman"/>
        </w:rPr>
        <w:t>. Vyd. 2., přeprac. V Praze: Oeconomica, 2008, 297 s. ISBN 9788024514352. s. 215</w:t>
      </w:r>
    </w:p>
  </w:footnote>
  <w:footnote w:id="103">
    <w:p w:rsidR="00146903" w:rsidRPr="002069ED" w:rsidRDefault="00146903" w:rsidP="00983150">
      <w:pPr>
        <w:pStyle w:val="Textpoznpodarou"/>
        <w:spacing w:line="276" w:lineRule="auto"/>
        <w:jc w:val="both"/>
        <w:rPr>
          <w:rFonts w:ascii="Times New Roman" w:hAnsi="Times New Roman" w:cs="Times New Roman"/>
        </w:rPr>
      </w:pPr>
      <w:r w:rsidRPr="002069ED">
        <w:rPr>
          <w:rStyle w:val="Znakapoznpodarou"/>
          <w:rFonts w:ascii="Times New Roman" w:hAnsi="Times New Roman" w:cs="Times New Roman"/>
        </w:rPr>
        <w:footnoteRef/>
      </w:r>
      <w:r w:rsidRPr="002069ED">
        <w:rPr>
          <w:rFonts w:ascii="Times New Roman" w:hAnsi="Times New Roman" w:cs="Times New Roman"/>
        </w:rPr>
        <w:t xml:space="preserve"> Následující text plně platí pro americké opce. U evropských opcí je aplikace tohoto faktoru komplikovanější.</w:t>
      </w:r>
    </w:p>
  </w:footnote>
  <w:footnote w:id="104">
    <w:p w:rsidR="00146903" w:rsidRPr="002069ED" w:rsidRDefault="00146903" w:rsidP="00983150">
      <w:pPr>
        <w:pStyle w:val="Textpoznpodarou"/>
        <w:spacing w:line="276" w:lineRule="auto"/>
        <w:jc w:val="both"/>
        <w:rPr>
          <w:rFonts w:ascii="Times New Roman" w:hAnsi="Times New Roman" w:cs="Times New Roman"/>
        </w:rPr>
      </w:pPr>
      <w:r w:rsidRPr="002069ED">
        <w:rPr>
          <w:rStyle w:val="Znakapoznpodarou"/>
          <w:rFonts w:ascii="Times New Roman" w:hAnsi="Times New Roman" w:cs="Times New Roman"/>
        </w:rPr>
        <w:footnoteRef/>
      </w:r>
      <w:r w:rsidRPr="002069ED">
        <w:rPr>
          <w:rFonts w:ascii="Times New Roman" w:hAnsi="Times New Roman" w:cs="Times New Roman"/>
        </w:rPr>
        <w:t xml:space="preserve"> REJNUŠ, Oldřich. </w:t>
      </w:r>
      <w:r w:rsidRPr="002069ED">
        <w:rPr>
          <w:rFonts w:ascii="Times New Roman" w:hAnsi="Times New Roman" w:cs="Times New Roman"/>
          <w:i/>
          <w:iCs/>
        </w:rPr>
        <w:t>Finanční trhy</w:t>
      </w:r>
      <w:r w:rsidRPr="002069ED">
        <w:rPr>
          <w:rFonts w:ascii="Times New Roman" w:hAnsi="Times New Roman" w:cs="Times New Roman"/>
        </w:rPr>
        <w:t>. 3. rozš. vyd. Ostrava: Key Publishing, 2011, 689 s. ISBN 9788074181283. s. 484</w:t>
      </w:r>
    </w:p>
  </w:footnote>
  <w:footnote w:id="105">
    <w:p w:rsidR="00146903" w:rsidRPr="002069ED" w:rsidRDefault="00146903" w:rsidP="00983150">
      <w:pPr>
        <w:pStyle w:val="Textpoznpodarou"/>
        <w:spacing w:line="276" w:lineRule="auto"/>
        <w:jc w:val="both"/>
        <w:rPr>
          <w:rFonts w:ascii="Times New Roman" w:hAnsi="Times New Roman" w:cs="Times New Roman"/>
        </w:rPr>
      </w:pPr>
      <w:r w:rsidRPr="002069ED">
        <w:rPr>
          <w:rStyle w:val="Znakapoznpodarou"/>
          <w:rFonts w:ascii="Times New Roman" w:hAnsi="Times New Roman" w:cs="Times New Roman"/>
        </w:rPr>
        <w:footnoteRef/>
      </w:r>
      <w:r w:rsidRPr="002069ED">
        <w:rPr>
          <w:rFonts w:ascii="Times New Roman" w:hAnsi="Times New Roman" w:cs="Times New Roman"/>
        </w:rPr>
        <w:t xml:space="preserve"> DVOŘÁK, Petr. </w:t>
      </w:r>
      <w:r w:rsidRPr="002069ED">
        <w:rPr>
          <w:rFonts w:ascii="Times New Roman" w:hAnsi="Times New Roman" w:cs="Times New Roman"/>
          <w:i/>
          <w:iCs/>
        </w:rPr>
        <w:t>Deriváty</w:t>
      </w:r>
      <w:r w:rsidRPr="002069ED">
        <w:rPr>
          <w:rFonts w:ascii="Times New Roman" w:hAnsi="Times New Roman" w:cs="Times New Roman"/>
        </w:rPr>
        <w:t>. Vyd. 2., přeprac. V Praze: Oeconomica, 2008, 297 s. ISBN 9788024514352. s. 214</w:t>
      </w:r>
    </w:p>
  </w:footnote>
  <w:footnote w:id="106">
    <w:p w:rsidR="00146903" w:rsidRPr="00335673" w:rsidRDefault="00146903" w:rsidP="00335673">
      <w:pPr>
        <w:pStyle w:val="Textpoznpodarou"/>
        <w:spacing w:line="276" w:lineRule="auto"/>
        <w:jc w:val="both"/>
        <w:rPr>
          <w:rFonts w:ascii="Times New Roman" w:hAnsi="Times New Roman" w:cs="Times New Roman"/>
        </w:rPr>
      </w:pPr>
      <w:r w:rsidRPr="00335673">
        <w:rPr>
          <w:rStyle w:val="Znakapoznpodarou"/>
          <w:rFonts w:ascii="Times New Roman" w:hAnsi="Times New Roman" w:cs="Times New Roman"/>
        </w:rPr>
        <w:footnoteRef/>
      </w:r>
      <w:r w:rsidRPr="00335673">
        <w:rPr>
          <w:rFonts w:ascii="Times New Roman" w:hAnsi="Times New Roman" w:cs="Times New Roman"/>
        </w:rPr>
        <w:t xml:space="preserve"> JÍLEK, Josef. </w:t>
      </w:r>
      <w:r w:rsidRPr="00335673">
        <w:rPr>
          <w:rFonts w:ascii="Times New Roman" w:hAnsi="Times New Roman" w:cs="Times New Roman"/>
          <w:i/>
          <w:iCs/>
        </w:rPr>
        <w:t>Termínové a opční obchody</w:t>
      </w:r>
      <w:r w:rsidRPr="00335673">
        <w:rPr>
          <w:rFonts w:ascii="Times New Roman" w:hAnsi="Times New Roman" w:cs="Times New Roman"/>
        </w:rPr>
        <w:t>. 1. vyd. Praha: Grada, 1995, 286 s. ISBN 8071691836. s. 252</w:t>
      </w:r>
    </w:p>
  </w:footnote>
  <w:footnote w:id="107">
    <w:p w:rsidR="00146903" w:rsidRPr="00335673" w:rsidRDefault="00146903" w:rsidP="00335673">
      <w:pPr>
        <w:pStyle w:val="Textpoznpodarou"/>
        <w:spacing w:line="276" w:lineRule="auto"/>
        <w:jc w:val="both"/>
        <w:rPr>
          <w:rFonts w:ascii="Times New Roman" w:hAnsi="Times New Roman" w:cs="Times New Roman"/>
        </w:rPr>
      </w:pPr>
      <w:r w:rsidRPr="00335673">
        <w:rPr>
          <w:rStyle w:val="Znakapoznpodarou"/>
          <w:rFonts w:ascii="Times New Roman" w:hAnsi="Times New Roman" w:cs="Times New Roman"/>
        </w:rPr>
        <w:footnoteRef/>
      </w:r>
      <w:r w:rsidRPr="00335673">
        <w:rPr>
          <w:rFonts w:ascii="Times New Roman" w:hAnsi="Times New Roman" w:cs="Times New Roman"/>
        </w:rPr>
        <w:t xml:space="preserve"> Dividendy jsou vypláceny majitelům akcií, nikoli majitelům opcí.</w:t>
      </w:r>
    </w:p>
  </w:footnote>
  <w:footnote w:id="108">
    <w:p w:rsidR="00146903" w:rsidRPr="00335673" w:rsidRDefault="00146903" w:rsidP="00335673">
      <w:pPr>
        <w:spacing w:line="276" w:lineRule="auto"/>
        <w:jc w:val="both"/>
        <w:rPr>
          <w:sz w:val="20"/>
          <w:szCs w:val="20"/>
        </w:rPr>
      </w:pPr>
      <w:r w:rsidRPr="00335673">
        <w:rPr>
          <w:rStyle w:val="Znakapoznpodarou"/>
          <w:sz w:val="20"/>
          <w:szCs w:val="20"/>
        </w:rPr>
        <w:footnoteRef/>
      </w:r>
      <w:r w:rsidRPr="00335673">
        <w:rPr>
          <w:sz w:val="20"/>
          <w:szCs w:val="20"/>
        </w:rPr>
        <w:t xml:space="preserve"> BLAHA, Zdenek Sid a Irena JINDŘICHOVSKÁ. </w:t>
      </w:r>
      <w:r w:rsidRPr="00335673">
        <w:rPr>
          <w:i/>
          <w:iCs/>
          <w:sz w:val="20"/>
          <w:szCs w:val="20"/>
        </w:rPr>
        <w:t>Opce, swapy, futures: deriváty finančního trhu</w:t>
      </w:r>
      <w:r w:rsidRPr="00335673">
        <w:rPr>
          <w:sz w:val="20"/>
          <w:szCs w:val="20"/>
        </w:rPr>
        <w:t>. 2. rozš. vyd. Praha: Management Press, 1997, 206 s. ISBN 8085943298. s. 55-56</w:t>
      </w:r>
    </w:p>
  </w:footnote>
  <w:footnote w:id="109">
    <w:p w:rsidR="00146903" w:rsidRPr="00041F24" w:rsidRDefault="00146903" w:rsidP="00041F24">
      <w:pPr>
        <w:spacing w:line="276" w:lineRule="auto"/>
        <w:jc w:val="both"/>
        <w:rPr>
          <w:sz w:val="20"/>
          <w:szCs w:val="20"/>
          <w:lang w:eastAsia="cs-CZ"/>
        </w:rPr>
      </w:pPr>
      <w:r w:rsidRPr="00041F24">
        <w:rPr>
          <w:rStyle w:val="Znakapoznpodarou"/>
          <w:sz w:val="20"/>
          <w:szCs w:val="20"/>
        </w:rPr>
        <w:footnoteRef/>
      </w:r>
      <w:r w:rsidRPr="00041F24">
        <w:rPr>
          <w:sz w:val="20"/>
          <w:szCs w:val="20"/>
        </w:rPr>
        <w:t xml:space="preserve"> </w:t>
      </w:r>
      <w:r w:rsidRPr="00041F24">
        <w:rPr>
          <w:sz w:val="20"/>
          <w:szCs w:val="20"/>
          <w:lang w:eastAsia="cs-CZ"/>
        </w:rPr>
        <w:t xml:space="preserve">HRDÝ, Milan a Jiří STROUHAL. </w:t>
      </w:r>
      <w:r w:rsidRPr="00041F24">
        <w:rPr>
          <w:i/>
          <w:iCs/>
          <w:sz w:val="20"/>
          <w:szCs w:val="20"/>
          <w:lang w:eastAsia="cs-CZ"/>
        </w:rPr>
        <w:t>Finanční řízení</w:t>
      </w:r>
      <w:r w:rsidRPr="00041F24">
        <w:rPr>
          <w:sz w:val="20"/>
          <w:szCs w:val="20"/>
          <w:lang w:eastAsia="cs-CZ"/>
        </w:rPr>
        <w:t>. 1. vyd. Praha: Wolters Kluwer Česká republika, 2010, 226</w:t>
      </w:r>
      <w:r>
        <w:rPr>
          <w:sz w:val="20"/>
          <w:szCs w:val="20"/>
          <w:lang w:eastAsia="cs-CZ"/>
        </w:rPr>
        <w:t> </w:t>
      </w:r>
      <w:r w:rsidRPr="00041F24">
        <w:rPr>
          <w:sz w:val="20"/>
          <w:szCs w:val="20"/>
          <w:lang w:eastAsia="cs-CZ"/>
        </w:rPr>
        <w:t>s. ISBN 9788073575809. s. 167</w:t>
      </w:r>
    </w:p>
  </w:footnote>
  <w:footnote w:id="110">
    <w:p w:rsidR="00146903" w:rsidRDefault="00146903" w:rsidP="00041F24">
      <w:pPr>
        <w:pStyle w:val="Textpoznpodarou"/>
        <w:spacing w:line="276" w:lineRule="auto"/>
        <w:jc w:val="both"/>
      </w:pPr>
      <w:r w:rsidRPr="00041F24">
        <w:rPr>
          <w:rStyle w:val="Znakapoznpodarou"/>
          <w:rFonts w:ascii="Times New Roman" w:hAnsi="Times New Roman" w:cs="Times New Roman"/>
        </w:rPr>
        <w:footnoteRef/>
      </w:r>
      <w:r w:rsidRPr="00041F24">
        <w:rPr>
          <w:rFonts w:ascii="Times New Roman" w:hAnsi="Times New Roman" w:cs="Times New Roman"/>
        </w:rPr>
        <w:t xml:space="preserve"> Tento model oceňování vyvinuli v 70. letech ekonomové Fisher Black a Myron Scholes. Vycházeli z dřívějšího výzkumu Roberta C. Mertona. Merton a Scholes později za tento model získali Nobelovu cenu (Black se tohoto ocenění nedožil).</w:t>
      </w:r>
    </w:p>
  </w:footnote>
  <w:footnote w:id="111">
    <w:p w:rsidR="00146903" w:rsidRPr="00B27844" w:rsidRDefault="00146903" w:rsidP="00B27844">
      <w:pPr>
        <w:spacing w:line="276" w:lineRule="auto"/>
        <w:jc w:val="both"/>
        <w:rPr>
          <w:sz w:val="20"/>
          <w:szCs w:val="20"/>
          <w:lang w:eastAsia="cs-CZ"/>
        </w:rPr>
      </w:pPr>
      <w:r w:rsidRPr="00B27844">
        <w:rPr>
          <w:rStyle w:val="Znakapoznpodarou"/>
          <w:sz w:val="20"/>
          <w:szCs w:val="20"/>
        </w:rPr>
        <w:footnoteRef/>
      </w:r>
      <w:r w:rsidRPr="00B27844">
        <w:rPr>
          <w:sz w:val="20"/>
          <w:szCs w:val="20"/>
        </w:rPr>
        <w:t xml:space="preserve"> Zpracováno dle: </w:t>
      </w:r>
      <w:r w:rsidRPr="00B27844">
        <w:rPr>
          <w:sz w:val="20"/>
          <w:szCs w:val="20"/>
          <w:lang w:eastAsia="cs-CZ"/>
        </w:rPr>
        <w:t xml:space="preserve">KOVÁŘÍK, Michal. </w:t>
      </w:r>
      <w:r w:rsidRPr="00B27844">
        <w:rPr>
          <w:i/>
          <w:iCs/>
          <w:sz w:val="20"/>
          <w:szCs w:val="20"/>
          <w:lang w:eastAsia="cs-CZ"/>
        </w:rPr>
        <w:t>Využití finančních derivátů při zajišťování peněžních toků</w:t>
      </w:r>
      <w:r w:rsidRPr="00B27844">
        <w:rPr>
          <w:sz w:val="20"/>
          <w:szCs w:val="20"/>
          <w:lang w:eastAsia="cs-CZ"/>
        </w:rPr>
        <w:t xml:space="preserve">. Vyd. 1. Bučovice: Nakladatelství Martin Stříž, 2011, 143 s. ISBN 9788087106495. s. 28, 29; a dle: REJNUŠ, Oldřich. </w:t>
      </w:r>
      <w:r w:rsidRPr="00B27844">
        <w:rPr>
          <w:i/>
          <w:iCs/>
          <w:sz w:val="20"/>
          <w:szCs w:val="20"/>
          <w:lang w:eastAsia="cs-CZ"/>
        </w:rPr>
        <w:t>Finanční trhy</w:t>
      </w:r>
      <w:r w:rsidRPr="00B27844">
        <w:rPr>
          <w:sz w:val="20"/>
          <w:szCs w:val="20"/>
          <w:lang w:eastAsia="cs-CZ"/>
        </w:rPr>
        <w:t>. 3. rozš. vyd. Ostrava: Key Publishing, 2011, 689 s. ISBN 9788074181283. s. 487, 488</w:t>
      </w:r>
    </w:p>
  </w:footnote>
  <w:footnote w:id="112">
    <w:p w:rsidR="00146903" w:rsidRPr="00B27844" w:rsidRDefault="00146903" w:rsidP="00B27844">
      <w:pPr>
        <w:spacing w:line="276" w:lineRule="auto"/>
        <w:jc w:val="both"/>
        <w:rPr>
          <w:sz w:val="20"/>
          <w:szCs w:val="20"/>
          <w:lang w:eastAsia="cs-CZ"/>
        </w:rPr>
      </w:pPr>
      <w:r w:rsidRPr="00B27844">
        <w:rPr>
          <w:rStyle w:val="Znakapoznpodarou"/>
          <w:sz w:val="20"/>
          <w:szCs w:val="20"/>
        </w:rPr>
        <w:footnoteRef/>
      </w:r>
      <w:r w:rsidRPr="00B27844">
        <w:rPr>
          <w:sz w:val="20"/>
          <w:szCs w:val="20"/>
        </w:rPr>
        <w:t xml:space="preserve"> </w:t>
      </w:r>
      <w:r w:rsidRPr="00B27844">
        <w:rPr>
          <w:sz w:val="20"/>
          <w:szCs w:val="20"/>
          <w:lang w:eastAsia="cs-CZ"/>
        </w:rPr>
        <w:t xml:space="preserve">SHARPE, William F a Gordon J ALEXANDER. </w:t>
      </w:r>
      <w:r w:rsidRPr="00B27844">
        <w:rPr>
          <w:i/>
          <w:iCs/>
          <w:sz w:val="20"/>
          <w:szCs w:val="20"/>
          <w:lang w:eastAsia="cs-CZ"/>
        </w:rPr>
        <w:t>Investice</w:t>
      </w:r>
      <w:r w:rsidRPr="00B27844">
        <w:rPr>
          <w:sz w:val="20"/>
          <w:szCs w:val="20"/>
          <w:lang w:eastAsia="cs-CZ"/>
        </w:rPr>
        <w:t>. 4. vyd. Praha: Victoria Publishing, 1994, 810 s. ISBN 8085605473. s. 476</w:t>
      </w:r>
    </w:p>
  </w:footnote>
  <w:footnote w:id="113">
    <w:p w:rsidR="00146903" w:rsidRPr="00B27844" w:rsidRDefault="00146903" w:rsidP="00B27844">
      <w:pPr>
        <w:spacing w:line="276" w:lineRule="auto"/>
        <w:jc w:val="both"/>
        <w:rPr>
          <w:sz w:val="20"/>
          <w:szCs w:val="20"/>
        </w:rPr>
      </w:pPr>
      <w:r w:rsidRPr="00B27844">
        <w:rPr>
          <w:rStyle w:val="Znakapoznpodarou"/>
          <w:sz w:val="20"/>
          <w:szCs w:val="20"/>
        </w:rPr>
        <w:footnoteRef/>
      </w:r>
      <w:r w:rsidRPr="00B27844">
        <w:rPr>
          <w:sz w:val="20"/>
          <w:szCs w:val="20"/>
        </w:rPr>
        <w:t xml:space="preserve"> </w:t>
      </w:r>
      <w:r w:rsidRPr="00B27844">
        <w:rPr>
          <w:sz w:val="20"/>
          <w:szCs w:val="20"/>
          <w:lang w:eastAsia="cs-CZ"/>
        </w:rPr>
        <w:t xml:space="preserve">JÍLEK, Josef. </w:t>
      </w:r>
      <w:r w:rsidRPr="00B27844">
        <w:rPr>
          <w:i/>
          <w:iCs/>
          <w:sz w:val="20"/>
          <w:szCs w:val="20"/>
          <w:lang w:eastAsia="cs-CZ"/>
        </w:rPr>
        <w:t>Finanční a komoditní deriváty v praxi</w:t>
      </w:r>
      <w:r w:rsidRPr="00B27844">
        <w:rPr>
          <w:sz w:val="20"/>
          <w:szCs w:val="20"/>
          <w:lang w:eastAsia="cs-CZ"/>
        </w:rPr>
        <w:t xml:space="preserve">. 2. uprav. vyd. Praha: Grada, 2010, 630 s. ISBN 9788024736969. s. </w:t>
      </w:r>
      <w:r w:rsidRPr="00B27844">
        <w:rPr>
          <w:sz w:val="20"/>
          <w:szCs w:val="20"/>
        </w:rPr>
        <w:t>438</w:t>
      </w:r>
    </w:p>
  </w:footnote>
  <w:footnote w:id="114">
    <w:p w:rsidR="00146903" w:rsidRPr="00515EDE" w:rsidRDefault="00146903" w:rsidP="001F45AB">
      <w:pPr>
        <w:spacing w:line="276" w:lineRule="auto"/>
        <w:jc w:val="both"/>
        <w:rPr>
          <w:sz w:val="20"/>
          <w:szCs w:val="20"/>
        </w:rPr>
      </w:pPr>
      <w:r w:rsidRPr="00515EDE">
        <w:rPr>
          <w:rStyle w:val="Znakapoznpodarou"/>
          <w:sz w:val="20"/>
          <w:szCs w:val="20"/>
        </w:rPr>
        <w:footnoteRef/>
      </w:r>
      <w:r w:rsidRPr="00515EDE">
        <w:rPr>
          <w:sz w:val="20"/>
          <w:szCs w:val="20"/>
        </w:rPr>
        <w:t xml:space="preserve"> </w:t>
      </w:r>
      <w:r w:rsidRPr="00515EDE">
        <w:rPr>
          <w:sz w:val="20"/>
          <w:szCs w:val="20"/>
          <w:lang w:eastAsia="cs-CZ"/>
        </w:rPr>
        <w:t xml:space="preserve">JÍLEK, Josef. </w:t>
      </w:r>
      <w:r w:rsidRPr="00515EDE">
        <w:rPr>
          <w:i/>
          <w:iCs/>
          <w:sz w:val="20"/>
          <w:szCs w:val="20"/>
          <w:lang w:eastAsia="cs-CZ"/>
        </w:rPr>
        <w:t>Finanční a komoditní deriváty v praxi</w:t>
      </w:r>
      <w:r w:rsidRPr="00515EDE">
        <w:rPr>
          <w:sz w:val="20"/>
          <w:szCs w:val="20"/>
          <w:lang w:eastAsia="cs-CZ"/>
        </w:rPr>
        <w:t xml:space="preserve">. 2. uprav. vyd. Praha: Grada, 2010, 630 s. ISBN 9788024736969. s. </w:t>
      </w:r>
      <w:r w:rsidRPr="00515EDE">
        <w:rPr>
          <w:sz w:val="20"/>
          <w:szCs w:val="20"/>
        </w:rPr>
        <w:t>438</w:t>
      </w:r>
    </w:p>
  </w:footnote>
  <w:footnote w:id="115">
    <w:p w:rsidR="00146903" w:rsidRDefault="00146903" w:rsidP="001F45AB">
      <w:pPr>
        <w:pStyle w:val="Textpoznpodarou"/>
        <w:spacing w:line="276" w:lineRule="auto"/>
        <w:jc w:val="both"/>
      </w:pPr>
      <w:r w:rsidRPr="00515EDE">
        <w:rPr>
          <w:rStyle w:val="Znakapoznpodarou"/>
          <w:rFonts w:ascii="Times New Roman" w:hAnsi="Times New Roman" w:cs="Times New Roman"/>
        </w:rPr>
        <w:footnoteRef/>
      </w:r>
      <w:r w:rsidRPr="00515EDE">
        <w:rPr>
          <w:rFonts w:ascii="Times New Roman" w:hAnsi="Times New Roman" w:cs="Times New Roman"/>
        </w:rPr>
        <w:t xml:space="preserve"> </w:t>
      </w:r>
      <w:r w:rsidRPr="00515EDE">
        <w:rPr>
          <w:rFonts w:ascii="Times New Roman" w:hAnsi="Times New Roman" w:cs="Times New Roman"/>
          <w:lang w:eastAsia="cs-CZ"/>
        </w:rPr>
        <w:t xml:space="preserve">KOVÁŘÍK, Michal. </w:t>
      </w:r>
      <w:r w:rsidRPr="00515EDE">
        <w:rPr>
          <w:rFonts w:ascii="Times New Roman" w:hAnsi="Times New Roman" w:cs="Times New Roman"/>
          <w:i/>
          <w:iCs/>
          <w:lang w:eastAsia="cs-CZ"/>
        </w:rPr>
        <w:t>Využití finančních derivátů při zajišťování peněžních toků</w:t>
      </w:r>
      <w:r w:rsidRPr="00515EDE">
        <w:rPr>
          <w:rFonts w:ascii="Times New Roman" w:hAnsi="Times New Roman" w:cs="Times New Roman"/>
          <w:lang w:eastAsia="cs-CZ"/>
        </w:rPr>
        <w:t>. Vyd. 1. Bučovice: Nakladatelství Martin Stříž, 2011, 143 s. ISBN 9788087106495. s. 17</w:t>
      </w:r>
    </w:p>
  </w:footnote>
  <w:footnote w:id="116">
    <w:p w:rsidR="00146903" w:rsidRPr="00F07151" w:rsidRDefault="00146903" w:rsidP="006C391C">
      <w:pPr>
        <w:pStyle w:val="Textpoznpodarou"/>
        <w:spacing w:line="276" w:lineRule="auto"/>
        <w:jc w:val="both"/>
        <w:rPr>
          <w:rFonts w:ascii="Times New Roman" w:hAnsi="Times New Roman" w:cs="Times New Roman"/>
        </w:rPr>
      </w:pPr>
      <w:r w:rsidRPr="00F07151">
        <w:rPr>
          <w:rStyle w:val="Znakapoznpodarou"/>
          <w:rFonts w:ascii="Times New Roman" w:hAnsi="Times New Roman" w:cs="Times New Roman"/>
        </w:rPr>
        <w:footnoteRef/>
      </w:r>
      <w:r w:rsidRPr="00F07151">
        <w:rPr>
          <w:rFonts w:ascii="Times New Roman" w:hAnsi="Times New Roman" w:cs="Times New Roman"/>
        </w:rPr>
        <w:t xml:space="preserve"> Logicky musí být sazba cap vyšší než sazba collar.</w:t>
      </w:r>
    </w:p>
  </w:footnote>
  <w:footnote w:id="117">
    <w:p w:rsidR="00146903" w:rsidRPr="00EA1E1F" w:rsidRDefault="00146903" w:rsidP="00EF1622">
      <w:pPr>
        <w:pStyle w:val="Textpoznpodarou"/>
        <w:spacing w:line="276" w:lineRule="auto"/>
        <w:jc w:val="both"/>
        <w:rPr>
          <w:rFonts w:ascii="Times New Roman" w:hAnsi="Times New Roman" w:cs="Times New Roman"/>
        </w:rPr>
      </w:pPr>
      <w:r w:rsidRPr="00EA1E1F">
        <w:rPr>
          <w:rStyle w:val="Znakapoznpodarou"/>
          <w:rFonts w:ascii="Times New Roman" w:hAnsi="Times New Roman" w:cs="Times New Roman"/>
        </w:rPr>
        <w:footnoteRef/>
      </w:r>
      <w:r w:rsidRPr="00EA1E1F">
        <w:rPr>
          <w:rFonts w:ascii="Times New Roman" w:hAnsi="Times New Roman" w:cs="Times New Roman"/>
        </w:rPr>
        <w:t xml:space="preserve"> V některých případech </w:t>
      </w:r>
      <w:r>
        <w:rPr>
          <w:rFonts w:ascii="Times New Roman" w:hAnsi="Times New Roman" w:cs="Times New Roman"/>
        </w:rPr>
        <w:t xml:space="preserve">bude počítáno s </w:t>
      </w:r>
      <w:r w:rsidRPr="00EA1E1F">
        <w:rPr>
          <w:rFonts w:ascii="Times New Roman" w:hAnsi="Times New Roman" w:cs="Times New Roman"/>
        </w:rPr>
        <w:t>měnový</w:t>
      </w:r>
      <w:r>
        <w:rPr>
          <w:rFonts w:ascii="Times New Roman" w:hAnsi="Times New Roman" w:cs="Times New Roman"/>
        </w:rPr>
        <w:t>m</w:t>
      </w:r>
      <w:r w:rsidRPr="00EA1E1F">
        <w:rPr>
          <w:rFonts w:ascii="Times New Roman" w:hAnsi="Times New Roman" w:cs="Times New Roman"/>
        </w:rPr>
        <w:t xml:space="preserve"> pár</w:t>
      </w:r>
      <w:r>
        <w:rPr>
          <w:rFonts w:ascii="Times New Roman" w:hAnsi="Times New Roman" w:cs="Times New Roman"/>
        </w:rPr>
        <w:t>em</w:t>
      </w:r>
      <w:r w:rsidRPr="00EA1E1F">
        <w:rPr>
          <w:rFonts w:ascii="Times New Roman" w:hAnsi="Times New Roman" w:cs="Times New Roman"/>
        </w:rPr>
        <w:t xml:space="preserve"> USD/EUR. Jedná se o pouhý přepočet.</w:t>
      </w:r>
    </w:p>
  </w:footnote>
  <w:footnote w:id="118">
    <w:p w:rsidR="00146903" w:rsidRDefault="00146903" w:rsidP="00EF1622">
      <w:pPr>
        <w:pStyle w:val="Textpoznpodarou"/>
        <w:spacing w:line="276" w:lineRule="auto"/>
        <w:jc w:val="both"/>
      </w:pPr>
      <w:r w:rsidRPr="00EA1E1F">
        <w:rPr>
          <w:rStyle w:val="Znakapoznpodarou"/>
          <w:rFonts w:ascii="Times New Roman" w:hAnsi="Times New Roman" w:cs="Times New Roman"/>
        </w:rPr>
        <w:footnoteRef/>
      </w:r>
      <w:r w:rsidRPr="00EA1E1F">
        <w:rPr>
          <w:rFonts w:ascii="Times New Roman" w:hAnsi="Times New Roman" w:cs="Times New Roman"/>
        </w:rPr>
        <w:t xml:space="preserve"> Vývoj úrokové sazby 6M LIBOR </w:t>
      </w:r>
      <w:r>
        <w:rPr>
          <w:rFonts w:ascii="Times New Roman" w:hAnsi="Times New Roman" w:cs="Times New Roman"/>
        </w:rPr>
        <w:t>je simulován</w:t>
      </w:r>
      <w:r w:rsidRPr="00EA1E1F">
        <w:rPr>
          <w:rFonts w:ascii="Times New Roman" w:hAnsi="Times New Roman" w:cs="Times New Roman"/>
        </w:rPr>
        <w:t xml:space="preserve"> do </w:t>
      </w:r>
      <w:r>
        <w:rPr>
          <w:rFonts w:ascii="Times New Roman" w:hAnsi="Times New Roman" w:cs="Times New Roman"/>
        </w:rPr>
        <w:t>data 7. 8. 2017. Hodnoty</w:t>
      </w:r>
      <w:r w:rsidRPr="00EA1E1F">
        <w:rPr>
          <w:rFonts w:ascii="Times New Roman" w:hAnsi="Times New Roman" w:cs="Times New Roman"/>
        </w:rPr>
        <w:t xml:space="preserve"> ke dni 7. 2. 2018 pro výpočty a porovnání n</w:t>
      </w:r>
      <w:r>
        <w:rPr>
          <w:rFonts w:ascii="Times New Roman" w:hAnsi="Times New Roman" w:cs="Times New Roman"/>
        </w:rPr>
        <w:t>ebudou potřeba.</w:t>
      </w:r>
    </w:p>
  </w:footnote>
  <w:footnote w:id="119">
    <w:p w:rsidR="00146903" w:rsidRPr="00042B21" w:rsidRDefault="00146903" w:rsidP="00BB17F2">
      <w:pPr>
        <w:pStyle w:val="Textpoznpodarou"/>
        <w:spacing w:line="276" w:lineRule="auto"/>
        <w:jc w:val="both"/>
        <w:rPr>
          <w:rFonts w:ascii="Times New Roman" w:hAnsi="Times New Roman" w:cs="Times New Roman"/>
        </w:rPr>
      </w:pPr>
      <w:r w:rsidRPr="00042B21">
        <w:rPr>
          <w:rStyle w:val="Znakapoznpodarou"/>
          <w:rFonts w:ascii="Times New Roman" w:hAnsi="Times New Roman" w:cs="Times New Roman"/>
        </w:rPr>
        <w:footnoteRef/>
      </w:r>
      <w:r w:rsidRPr="00042B21">
        <w:rPr>
          <w:rFonts w:ascii="Times New Roman" w:hAnsi="Times New Roman" w:cs="Times New Roman"/>
        </w:rPr>
        <w:t xml:space="preserve"> </w:t>
      </w:r>
      <w:r w:rsidRPr="00042B21">
        <w:rPr>
          <w:rFonts w:ascii="Times New Roman" w:hAnsi="Times New Roman" w:cs="Times New Roman"/>
          <w:iCs/>
        </w:rPr>
        <w:t xml:space="preserve">NYSE EURONEXT: Euro/US Dollar Futures Specification. </w:t>
      </w:r>
      <w:r w:rsidRPr="00042B21">
        <w:rPr>
          <w:rFonts w:ascii="Times New Roman" w:hAnsi="Times New Roman" w:cs="Times New Roman"/>
          <w:i/>
          <w:iCs/>
        </w:rPr>
        <w:t>NYSE Euronext</w:t>
      </w:r>
      <w:r w:rsidRPr="00042B21">
        <w:rPr>
          <w:rFonts w:ascii="Times New Roman" w:hAnsi="Times New Roman" w:cs="Times New Roman"/>
        </w:rPr>
        <w:t xml:space="preserve"> [online]. [cit. 2013-03-16]. Dostupné na WWW: &lt;https://globalderivatives.nyx.com/en/products/index-futures/FED-DAMS/contract-specification&gt;</w:t>
      </w:r>
    </w:p>
  </w:footnote>
  <w:footnote w:id="120">
    <w:p w:rsidR="00146903" w:rsidRPr="00EA1E1F" w:rsidRDefault="00146903" w:rsidP="00BB17F2">
      <w:pPr>
        <w:pStyle w:val="Textpoznpodarou"/>
        <w:spacing w:line="276" w:lineRule="auto"/>
        <w:jc w:val="both"/>
        <w:rPr>
          <w:rFonts w:ascii="Times New Roman" w:hAnsi="Times New Roman" w:cs="Times New Roman"/>
        </w:rPr>
      </w:pPr>
      <w:r w:rsidRPr="00EA1E1F">
        <w:rPr>
          <w:rStyle w:val="Znakapoznpodarou"/>
          <w:rFonts w:ascii="Times New Roman" w:hAnsi="Times New Roman" w:cs="Times New Roman"/>
        </w:rPr>
        <w:footnoteRef/>
      </w:r>
      <w:r w:rsidRPr="00EA1E1F">
        <w:rPr>
          <w:rFonts w:ascii="Times New Roman" w:hAnsi="Times New Roman" w:cs="Times New Roman"/>
        </w:rPr>
        <w:t xml:space="preserve"> </w:t>
      </w:r>
      <w:r w:rsidRPr="00042B21">
        <w:rPr>
          <w:rFonts w:ascii="Times New Roman" w:hAnsi="Times New Roman" w:cs="Times New Roman"/>
          <w:iCs/>
        </w:rPr>
        <w:t xml:space="preserve">NYSE EURONEXT: Euro/US Dollar Futures Specification. </w:t>
      </w:r>
      <w:r w:rsidRPr="00EA1E1F">
        <w:rPr>
          <w:rFonts w:ascii="Times New Roman" w:hAnsi="Times New Roman" w:cs="Times New Roman"/>
          <w:i/>
          <w:iCs/>
        </w:rPr>
        <w:t>NYSE Euronext</w:t>
      </w:r>
      <w:r w:rsidRPr="00EA1E1F">
        <w:rPr>
          <w:rFonts w:ascii="Times New Roman" w:hAnsi="Times New Roman" w:cs="Times New Roman"/>
        </w:rPr>
        <w:t xml:space="preserve"> [online]. [cit. 2013-03-16]. Dostupné </w:t>
      </w:r>
      <w:r>
        <w:rPr>
          <w:rFonts w:ascii="Times New Roman" w:hAnsi="Times New Roman" w:cs="Times New Roman"/>
        </w:rPr>
        <w:t>na WWW</w:t>
      </w:r>
      <w:r w:rsidRPr="00EA1E1F">
        <w:rPr>
          <w:rFonts w:ascii="Times New Roman" w:hAnsi="Times New Roman" w:cs="Times New Roman"/>
        </w:rPr>
        <w:t>: &lt;https://globalderivatives.nyx.com/en/products/index-futures/FED-DAMS/contract-specification&gt;</w:t>
      </w:r>
    </w:p>
  </w:footnote>
  <w:footnote w:id="121">
    <w:p w:rsidR="00146903" w:rsidRDefault="00146903" w:rsidP="00BB17F2">
      <w:pPr>
        <w:pStyle w:val="Textpoznpodarou"/>
        <w:spacing w:line="276" w:lineRule="auto"/>
        <w:jc w:val="both"/>
      </w:pPr>
      <w:r w:rsidRPr="00EA1E1F">
        <w:rPr>
          <w:rStyle w:val="Znakapoznpodarou"/>
          <w:rFonts w:ascii="Times New Roman" w:hAnsi="Times New Roman" w:cs="Times New Roman"/>
        </w:rPr>
        <w:footnoteRef/>
      </w:r>
      <w:r w:rsidRPr="00EA1E1F">
        <w:rPr>
          <w:rFonts w:ascii="Times New Roman" w:hAnsi="Times New Roman" w:cs="Times New Roman"/>
        </w:rPr>
        <w:t xml:space="preserve"> </w:t>
      </w:r>
      <w:r>
        <w:rPr>
          <w:rFonts w:ascii="Times New Roman" w:hAnsi="Times New Roman" w:cs="Times New Roman"/>
        </w:rPr>
        <w:t xml:space="preserve">LHC. CLEARNET: </w:t>
      </w:r>
      <w:r w:rsidRPr="00042B21">
        <w:rPr>
          <w:rFonts w:ascii="Times New Roman" w:hAnsi="Times New Roman" w:cs="Times New Roman"/>
          <w:iCs/>
        </w:rPr>
        <w:t>Margin Parameters Notice</w:t>
      </w:r>
      <w:r w:rsidRPr="00EA1E1F">
        <w:rPr>
          <w:rFonts w:ascii="Times New Roman" w:hAnsi="Times New Roman" w:cs="Times New Roman"/>
        </w:rPr>
        <w:t xml:space="preserve"> [online]. </w:t>
      </w:r>
      <w:r w:rsidRPr="00042B21">
        <w:rPr>
          <w:rFonts w:ascii="Times New Roman" w:hAnsi="Times New Roman" w:cs="Times New Roman"/>
          <w:i/>
        </w:rPr>
        <w:t>LHC. CLEARNET</w:t>
      </w:r>
      <w:r w:rsidRPr="00EA1E1F">
        <w:rPr>
          <w:rFonts w:ascii="Times New Roman" w:hAnsi="Times New Roman" w:cs="Times New Roman"/>
        </w:rPr>
        <w:t xml:space="preserve">, 2013 [cit. 2013-03-28]. Dostupné </w:t>
      </w:r>
      <w:r>
        <w:rPr>
          <w:rFonts w:ascii="Times New Roman" w:hAnsi="Times New Roman" w:cs="Times New Roman"/>
        </w:rPr>
        <w:t>na WWW</w:t>
      </w:r>
      <w:r w:rsidRPr="00EA1E1F">
        <w:rPr>
          <w:rFonts w:ascii="Times New Roman" w:hAnsi="Times New Roman" w:cs="Times New Roman"/>
        </w:rPr>
        <w:t>: &lt;http://www.lchclearnet.com/Images/Daily_Derivatives_parameters_20130328.GB_tcm6-63275.pdf&gt;</w:t>
      </w:r>
    </w:p>
  </w:footnote>
  <w:footnote w:id="122">
    <w:p w:rsidR="00146903" w:rsidRPr="00385387" w:rsidRDefault="00146903" w:rsidP="00994471">
      <w:pPr>
        <w:spacing w:line="276" w:lineRule="auto"/>
        <w:jc w:val="both"/>
        <w:rPr>
          <w:sz w:val="20"/>
          <w:szCs w:val="20"/>
        </w:rPr>
      </w:pPr>
      <w:r w:rsidRPr="00385387">
        <w:rPr>
          <w:rStyle w:val="Znakapoznpodarou"/>
          <w:sz w:val="20"/>
          <w:szCs w:val="20"/>
        </w:rPr>
        <w:footnoteRef/>
      </w:r>
      <w:r w:rsidRPr="00385387">
        <w:rPr>
          <w:sz w:val="20"/>
          <w:szCs w:val="20"/>
        </w:rPr>
        <w:t xml:space="preserve"> </w:t>
      </w:r>
      <w:r w:rsidRPr="00385387">
        <w:rPr>
          <w:sz w:val="20"/>
          <w:szCs w:val="20"/>
          <w:lang w:eastAsia="cs-CZ"/>
        </w:rPr>
        <w:t xml:space="preserve">HULL, John. </w:t>
      </w:r>
      <w:r w:rsidRPr="00385387">
        <w:rPr>
          <w:i/>
          <w:iCs/>
          <w:sz w:val="20"/>
          <w:szCs w:val="20"/>
          <w:lang w:eastAsia="cs-CZ"/>
        </w:rPr>
        <w:t>Options, futures</w:t>
      </w:r>
      <w:r w:rsidRPr="00385387">
        <w:rPr>
          <w:sz w:val="20"/>
          <w:szCs w:val="20"/>
          <w:lang w:eastAsia="cs-CZ"/>
        </w:rPr>
        <w:t xml:space="preserve">. 5th ed. Upper Saddle River, NJ: Prentice Hall, c2003, xxi, 744 p. ISBN 01-300-9056-5. s. </w:t>
      </w:r>
      <w:r w:rsidRPr="00385387">
        <w:rPr>
          <w:sz w:val="20"/>
          <w:szCs w:val="20"/>
        </w:rPr>
        <w:t>78</w:t>
      </w:r>
    </w:p>
  </w:footnote>
  <w:footnote w:id="123">
    <w:p w:rsidR="00146903" w:rsidRDefault="00146903" w:rsidP="00385387">
      <w:pPr>
        <w:pStyle w:val="Textpoznpodarou"/>
        <w:spacing w:line="276" w:lineRule="auto"/>
        <w:jc w:val="both"/>
      </w:pPr>
      <w:r w:rsidRPr="00385387">
        <w:rPr>
          <w:rStyle w:val="Znakapoznpodarou"/>
          <w:rFonts w:ascii="Times New Roman" w:hAnsi="Times New Roman" w:cs="Times New Roman"/>
        </w:rPr>
        <w:footnoteRef/>
      </w:r>
      <w:r w:rsidRPr="00385387">
        <w:rPr>
          <w:rFonts w:ascii="Times New Roman" w:hAnsi="Times New Roman" w:cs="Times New Roman"/>
        </w:rPr>
        <w:t xml:space="preserve"> </w:t>
      </w:r>
      <w:r w:rsidRPr="00385387">
        <w:rPr>
          <w:rFonts w:ascii="Times New Roman" w:hAnsi="Times New Roman" w:cs="Times New Roman"/>
          <w:lang w:eastAsia="cs-CZ"/>
        </w:rPr>
        <w:t xml:space="preserve">HULL, John. </w:t>
      </w:r>
      <w:r w:rsidRPr="00385387">
        <w:rPr>
          <w:rFonts w:ascii="Times New Roman" w:hAnsi="Times New Roman" w:cs="Times New Roman"/>
          <w:i/>
          <w:iCs/>
          <w:lang w:eastAsia="cs-CZ"/>
        </w:rPr>
        <w:t>Options, futures</w:t>
      </w:r>
      <w:r w:rsidRPr="00385387">
        <w:rPr>
          <w:rFonts w:ascii="Times New Roman" w:hAnsi="Times New Roman" w:cs="Times New Roman"/>
          <w:lang w:eastAsia="cs-CZ"/>
        </w:rPr>
        <w:t xml:space="preserve">. 5th ed. Upper Saddle River, NJ: Prentice Hall, c2003, xxi, 744 p. ISBN 01-300-9056-5. s. </w:t>
      </w:r>
      <w:r w:rsidRPr="00385387">
        <w:rPr>
          <w:rFonts w:ascii="Times New Roman" w:hAnsi="Times New Roman" w:cs="Times New Roman"/>
        </w:rPr>
        <w:t>86</w:t>
      </w:r>
    </w:p>
  </w:footnote>
  <w:footnote w:id="124">
    <w:p w:rsidR="00146903" w:rsidRPr="00A05CDB" w:rsidRDefault="00146903" w:rsidP="00A05CDB">
      <w:pPr>
        <w:pStyle w:val="Textpoznpodarou"/>
        <w:spacing w:line="276" w:lineRule="auto"/>
        <w:jc w:val="both"/>
        <w:rPr>
          <w:rFonts w:ascii="Times New Roman" w:hAnsi="Times New Roman" w:cs="Times New Roman"/>
        </w:rPr>
      </w:pPr>
      <w:r w:rsidRPr="00A05CDB">
        <w:rPr>
          <w:rStyle w:val="Znakapoznpodarou"/>
          <w:rFonts w:ascii="Times New Roman" w:hAnsi="Times New Roman" w:cs="Times New Roman"/>
        </w:rPr>
        <w:footnoteRef/>
      </w:r>
      <w:r w:rsidRPr="00A05CDB">
        <w:rPr>
          <w:rFonts w:ascii="Times New Roman" w:hAnsi="Times New Roman" w:cs="Times New Roman"/>
        </w:rPr>
        <w:t xml:space="preserve"> Vzorec dle modelu Garman-Kohlhagen.</w:t>
      </w:r>
    </w:p>
  </w:footnote>
  <w:footnote w:id="125">
    <w:p w:rsidR="00146903" w:rsidRPr="00773EBA" w:rsidRDefault="00146903" w:rsidP="00773EBA">
      <w:pPr>
        <w:pStyle w:val="Textpoznpodarou"/>
        <w:spacing w:line="276" w:lineRule="auto"/>
        <w:jc w:val="both"/>
        <w:rPr>
          <w:rFonts w:ascii="Times New Roman" w:hAnsi="Times New Roman" w:cs="Times New Roman"/>
        </w:rPr>
      </w:pPr>
      <w:r w:rsidRPr="00773EBA">
        <w:rPr>
          <w:rStyle w:val="Znakapoznpodarou"/>
          <w:rFonts w:ascii="Times New Roman" w:hAnsi="Times New Roman" w:cs="Times New Roman"/>
        </w:rPr>
        <w:footnoteRef/>
      </w:r>
      <w:r w:rsidRPr="00773EBA">
        <w:rPr>
          <w:rFonts w:ascii="Times New Roman" w:hAnsi="Times New Roman" w:cs="Times New Roman"/>
        </w:rPr>
        <w:t xml:space="preserve"> Pokud by společnost </w:t>
      </w:r>
      <w:r>
        <w:rPr>
          <w:rFonts w:ascii="Times New Roman" w:hAnsi="Times New Roman" w:cs="Times New Roman"/>
        </w:rPr>
        <w:t>Delor</w:t>
      </w:r>
      <w:r w:rsidRPr="00773EBA">
        <w:rPr>
          <w:rFonts w:ascii="Times New Roman" w:hAnsi="Times New Roman" w:cs="Times New Roman"/>
        </w:rPr>
        <w:t xml:space="preserve"> uvažovala o sjednání této opce, pak by tato </w:t>
      </w:r>
      <w:r>
        <w:rPr>
          <w:rFonts w:ascii="Times New Roman" w:hAnsi="Times New Roman" w:cs="Times New Roman"/>
        </w:rPr>
        <w:t xml:space="preserve">opce </w:t>
      </w:r>
      <w:r w:rsidRPr="00773EBA">
        <w:rPr>
          <w:rFonts w:ascii="Times New Roman" w:hAnsi="Times New Roman" w:cs="Times New Roman"/>
        </w:rPr>
        <w:t xml:space="preserve">byla výhodnější alternativou oproti </w:t>
      </w:r>
      <w:r w:rsidRPr="00EA1E1F">
        <w:rPr>
          <w:rFonts w:ascii="Times New Roman" w:hAnsi="Times New Roman" w:cs="Times New Roman"/>
          <w:i/>
        </w:rPr>
        <w:t>„Plain Vanilla“</w:t>
      </w:r>
      <w:r w:rsidRPr="00773EBA">
        <w:rPr>
          <w:rFonts w:ascii="Times New Roman" w:hAnsi="Times New Roman" w:cs="Times New Roman"/>
        </w:rPr>
        <w:t xml:space="preserve"> long put opci. Jak jsme již uváděli, její velkou nevýhodou jsou právě vysoké hodnoty opční prémie.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7517"/>
    <w:multiLevelType w:val="hybridMultilevel"/>
    <w:tmpl w:val="C13E15C4"/>
    <w:lvl w:ilvl="0" w:tplc="01A68D42">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5511775"/>
    <w:multiLevelType w:val="multilevel"/>
    <w:tmpl w:val="81A07C4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BCF298B"/>
    <w:multiLevelType w:val="hybridMultilevel"/>
    <w:tmpl w:val="4C20C5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F1C4DD8"/>
    <w:multiLevelType w:val="hybridMultilevel"/>
    <w:tmpl w:val="543E5F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25465F2"/>
    <w:multiLevelType w:val="hybridMultilevel"/>
    <w:tmpl w:val="E5C2DB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2562C92"/>
    <w:multiLevelType w:val="multilevel"/>
    <w:tmpl w:val="12BACA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1C9A7CD7"/>
    <w:multiLevelType w:val="hybridMultilevel"/>
    <w:tmpl w:val="C910F472"/>
    <w:lvl w:ilvl="0" w:tplc="03D6770E">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3BD4E3A"/>
    <w:multiLevelType w:val="hybridMultilevel"/>
    <w:tmpl w:val="6A92FC7E"/>
    <w:lvl w:ilvl="0" w:tplc="C34CD1F0">
      <w:start w:val="74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663534F"/>
    <w:multiLevelType w:val="hybridMultilevel"/>
    <w:tmpl w:val="665441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AD44D07"/>
    <w:multiLevelType w:val="multilevel"/>
    <w:tmpl w:val="AD46E2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nsid w:val="323715B4"/>
    <w:multiLevelType w:val="hybridMultilevel"/>
    <w:tmpl w:val="993AC41A"/>
    <w:lvl w:ilvl="0" w:tplc="E2D8F3B2">
      <w:numFmt w:val="bullet"/>
      <w:lvlText w:val="-"/>
      <w:lvlJc w:val="left"/>
      <w:pPr>
        <w:ind w:left="720" w:hanging="360"/>
      </w:pPr>
      <w:rPr>
        <w:rFonts w:ascii="Times New Roman" w:eastAsiaTheme="minorHAnsi" w:hAnsi="Times New Roman" w:cs="Times New Roman" w:hint="default"/>
      </w:rPr>
    </w:lvl>
    <w:lvl w:ilvl="1" w:tplc="E2D8F3B2">
      <w:numFmt w:val="bullet"/>
      <w:lvlText w:val="-"/>
      <w:lvlJc w:val="left"/>
      <w:pPr>
        <w:ind w:left="1440" w:hanging="360"/>
      </w:pPr>
      <w:rPr>
        <w:rFonts w:ascii="Times New Roman" w:eastAsiaTheme="minorHAnsi" w:hAnsi="Times New Roman" w:cs="Times New Roman"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4736BFA"/>
    <w:multiLevelType w:val="hybridMultilevel"/>
    <w:tmpl w:val="EB9EBD9E"/>
    <w:lvl w:ilvl="0" w:tplc="B7EEDADC">
      <w:start w:val="1"/>
      <w:numFmt w:val="bullet"/>
      <w:lvlText w:val="-"/>
      <w:lvlJc w:val="left"/>
      <w:pPr>
        <w:ind w:left="720" w:hanging="360"/>
      </w:pPr>
      <w:rPr>
        <w:rFonts w:ascii="Times New Roman" w:eastAsiaTheme="minorHAnsi" w:hAnsi="Times New Roman" w:cs="Times New Roman" w:hint="default"/>
        <w:color w:val="008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8292AD0"/>
    <w:multiLevelType w:val="hybridMultilevel"/>
    <w:tmpl w:val="B5B2FB4E"/>
    <w:lvl w:ilvl="0" w:tplc="F5160A04">
      <w:start w:val="13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83C0607"/>
    <w:multiLevelType w:val="hybridMultilevel"/>
    <w:tmpl w:val="E01EA10A"/>
    <w:lvl w:ilvl="0" w:tplc="04050005">
      <w:start w:val="1"/>
      <w:numFmt w:val="bullet"/>
      <w:lvlText w:val=""/>
      <w:lvlJc w:val="left"/>
      <w:pPr>
        <w:ind w:left="720" w:hanging="360"/>
      </w:pPr>
      <w:rPr>
        <w:rFonts w:ascii="Wingdings" w:hAnsi="Wingdings" w:hint="default"/>
      </w:rPr>
    </w:lvl>
    <w:lvl w:ilvl="1" w:tplc="E2D8F3B2">
      <w:numFmt w:val="bullet"/>
      <w:lvlText w:val="-"/>
      <w:lvlJc w:val="left"/>
      <w:pPr>
        <w:ind w:left="1440" w:hanging="360"/>
      </w:pPr>
      <w:rPr>
        <w:rFonts w:ascii="Times New Roman" w:eastAsiaTheme="minorHAnsi"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9D719BA"/>
    <w:multiLevelType w:val="hybridMultilevel"/>
    <w:tmpl w:val="B76C57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B8C21B0"/>
    <w:multiLevelType w:val="hybridMultilevel"/>
    <w:tmpl w:val="A6F488F4"/>
    <w:lvl w:ilvl="0" w:tplc="ABE05DBE">
      <w:start w:val="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3D663CDA"/>
    <w:multiLevelType w:val="hybridMultilevel"/>
    <w:tmpl w:val="09AEB536"/>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E283C96"/>
    <w:multiLevelType w:val="hybridMultilevel"/>
    <w:tmpl w:val="53905450"/>
    <w:lvl w:ilvl="0" w:tplc="E2D8F3B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435379B4"/>
    <w:multiLevelType w:val="multilevel"/>
    <w:tmpl w:val="52BA2FD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4DAB5A4F"/>
    <w:multiLevelType w:val="hybridMultilevel"/>
    <w:tmpl w:val="BB96F150"/>
    <w:lvl w:ilvl="0" w:tplc="391C3E5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51934D71"/>
    <w:multiLevelType w:val="hybridMultilevel"/>
    <w:tmpl w:val="E52EAFE8"/>
    <w:lvl w:ilvl="0" w:tplc="F9B079B8">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9CC418F"/>
    <w:multiLevelType w:val="multilevel"/>
    <w:tmpl w:val="B874EC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5E687DD4"/>
    <w:multiLevelType w:val="hybridMultilevel"/>
    <w:tmpl w:val="D8D03258"/>
    <w:lvl w:ilvl="0" w:tplc="D41A7BF4">
      <w:start w:val="744"/>
      <w:numFmt w:val="bullet"/>
      <w:lvlText w:val="-"/>
      <w:lvlJc w:val="left"/>
      <w:pPr>
        <w:ind w:left="720" w:hanging="360"/>
      </w:pPr>
      <w:rPr>
        <w:rFonts w:ascii="Times New Roman" w:eastAsia="Times New Roman" w:hAnsi="Times New Roman" w:cs="Times New Roman" w:hint="default"/>
      </w:rPr>
    </w:lvl>
    <w:lvl w:ilvl="1" w:tplc="BFE2BA20" w:tentative="1">
      <w:start w:val="1"/>
      <w:numFmt w:val="bullet"/>
      <w:lvlText w:val="o"/>
      <w:lvlJc w:val="left"/>
      <w:pPr>
        <w:ind w:left="1440" w:hanging="360"/>
      </w:pPr>
      <w:rPr>
        <w:rFonts w:ascii="Courier New" w:hAnsi="Courier New" w:cs="Courier New" w:hint="default"/>
      </w:rPr>
    </w:lvl>
    <w:lvl w:ilvl="2" w:tplc="E3421354" w:tentative="1">
      <w:start w:val="1"/>
      <w:numFmt w:val="bullet"/>
      <w:lvlText w:val=""/>
      <w:lvlJc w:val="left"/>
      <w:pPr>
        <w:ind w:left="2160" w:hanging="360"/>
      </w:pPr>
      <w:rPr>
        <w:rFonts w:ascii="Wingdings" w:hAnsi="Wingdings" w:hint="default"/>
      </w:rPr>
    </w:lvl>
    <w:lvl w:ilvl="3" w:tplc="D4404AF4" w:tentative="1">
      <w:start w:val="1"/>
      <w:numFmt w:val="bullet"/>
      <w:lvlText w:val=""/>
      <w:lvlJc w:val="left"/>
      <w:pPr>
        <w:ind w:left="2880" w:hanging="360"/>
      </w:pPr>
      <w:rPr>
        <w:rFonts w:ascii="Symbol" w:hAnsi="Symbol" w:hint="default"/>
      </w:rPr>
    </w:lvl>
    <w:lvl w:ilvl="4" w:tplc="C708226E" w:tentative="1">
      <w:start w:val="1"/>
      <w:numFmt w:val="bullet"/>
      <w:lvlText w:val="o"/>
      <w:lvlJc w:val="left"/>
      <w:pPr>
        <w:ind w:left="3600" w:hanging="360"/>
      </w:pPr>
      <w:rPr>
        <w:rFonts w:ascii="Courier New" w:hAnsi="Courier New" w:cs="Courier New" w:hint="default"/>
      </w:rPr>
    </w:lvl>
    <w:lvl w:ilvl="5" w:tplc="1B060C8A" w:tentative="1">
      <w:start w:val="1"/>
      <w:numFmt w:val="bullet"/>
      <w:lvlText w:val=""/>
      <w:lvlJc w:val="left"/>
      <w:pPr>
        <w:ind w:left="4320" w:hanging="360"/>
      </w:pPr>
      <w:rPr>
        <w:rFonts w:ascii="Wingdings" w:hAnsi="Wingdings" w:hint="default"/>
      </w:rPr>
    </w:lvl>
    <w:lvl w:ilvl="6" w:tplc="46A6D388" w:tentative="1">
      <w:start w:val="1"/>
      <w:numFmt w:val="bullet"/>
      <w:lvlText w:val=""/>
      <w:lvlJc w:val="left"/>
      <w:pPr>
        <w:ind w:left="5040" w:hanging="360"/>
      </w:pPr>
      <w:rPr>
        <w:rFonts w:ascii="Symbol" w:hAnsi="Symbol" w:hint="default"/>
      </w:rPr>
    </w:lvl>
    <w:lvl w:ilvl="7" w:tplc="8E583A50" w:tentative="1">
      <w:start w:val="1"/>
      <w:numFmt w:val="bullet"/>
      <w:lvlText w:val="o"/>
      <w:lvlJc w:val="left"/>
      <w:pPr>
        <w:ind w:left="5760" w:hanging="360"/>
      </w:pPr>
      <w:rPr>
        <w:rFonts w:ascii="Courier New" w:hAnsi="Courier New" w:cs="Courier New" w:hint="default"/>
      </w:rPr>
    </w:lvl>
    <w:lvl w:ilvl="8" w:tplc="599C2716" w:tentative="1">
      <w:start w:val="1"/>
      <w:numFmt w:val="bullet"/>
      <w:lvlText w:val=""/>
      <w:lvlJc w:val="left"/>
      <w:pPr>
        <w:ind w:left="6480" w:hanging="360"/>
      </w:pPr>
      <w:rPr>
        <w:rFonts w:ascii="Wingdings" w:hAnsi="Wingdings" w:hint="default"/>
      </w:rPr>
    </w:lvl>
  </w:abstractNum>
  <w:abstractNum w:abstractNumId="23">
    <w:nsid w:val="63E51EF4"/>
    <w:multiLevelType w:val="hybridMultilevel"/>
    <w:tmpl w:val="DE166F28"/>
    <w:lvl w:ilvl="0" w:tplc="064E623A">
      <w:numFmt w:val="bullet"/>
      <w:lvlText w:val="-"/>
      <w:lvlJc w:val="left"/>
      <w:pPr>
        <w:ind w:left="420" w:hanging="360"/>
      </w:pPr>
      <w:rPr>
        <w:rFonts w:ascii="Times New Roman" w:eastAsiaTheme="minorHAnsi"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4">
    <w:nsid w:val="64170BDA"/>
    <w:multiLevelType w:val="hybridMultilevel"/>
    <w:tmpl w:val="F32ED0E0"/>
    <w:lvl w:ilvl="0" w:tplc="60BA5D20">
      <w:start w:val="6"/>
      <w:numFmt w:val="bullet"/>
      <w:lvlText w:val="-"/>
      <w:lvlJc w:val="left"/>
      <w:pPr>
        <w:ind w:left="720" w:hanging="360"/>
      </w:pPr>
      <w:rPr>
        <w:rFonts w:ascii="Times New Roman" w:eastAsiaTheme="minorEastAsia"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689D1C7B"/>
    <w:multiLevelType w:val="multilevel"/>
    <w:tmpl w:val="51CC7CDE"/>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6">
    <w:nsid w:val="7776451C"/>
    <w:multiLevelType w:val="hybridMultilevel"/>
    <w:tmpl w:val="7F568F50"/>
    <w:lvl w:ilvl="0" w:tplc="29FE7AFE">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9115192"/>
    <w:multiLevelType w:val="hybridMultilevel"/>
    <w:tmpl w:val="2BDCFD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C896B14"/>
    <w:multiLevelType w:val="hybridMultilevel"/>
    <w:tmpl w:val="1228F27A"/>
    <w:lvl w:ilvl="0" w:tplc="04050005">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7CC434D0"/>
    <w:multiLevelType w:val="multilevel"/>
    <w:tmpl w:val="D9FE916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8"/>
  </w:num>
  <w:num w:numId="2">
    <w:abstractNumId w:val="2"/>
  </w:num>
  <w:num w:numId="3">
    <w:abstractNumId w:val="29"/>
  </w:num>
  <w:num w:numId="4">
    <w:abstractNumId w:val="1"/>
  </w:num>
  <w:num w:numId="5">
    <w:abstractNumId w:val="21"/>
  </w:num>
  <w:num w:numId="6">
    <w:abstractNumId w:val="14"/>
  </w:num>
  <w:num w:numId="7">
    <w:abstractNumId w:val="19"/>
  </w:num>
  <w:num w:numId="8">
    <w:abstractNumId w:val="0"/>
  </w:num>
  <w:num w:numId="9">
    <w:abstractNumId w:val="23"/>
  </w:num>
  <w:num w:numId="10">
    <w:abstractNumId w:val="11"/>
  </w:num>
  <w:num w:numId="11">
    <w:abstractNumId w:val="20"/>
  </w:num>
  <w:num w:numId="12">
    <w:abstractNumId w:val="26"/>
  </w:num>
  <w:num w:numId="13">
    <w:abstractNumId w:val="16"/>
  </w:num>
  <w:num w:numId="14">
    <w:abstractNumId w:val="8"/>
  </w:num>
  <w:num w:numId="15">
    <w:abstractNumId w:val="27"/>
  </w:num>
  <w:num w:numId="16">
    <w:abstractNumId w:val="13"/>
  </w:num>
  <w:num w:numId="17">
    <w:abstractNumId w:val="10"/>
  </w:num>
  <w:num w:numId="18">
    <w:abstractNumId w:val="7"/>
  </w:num>
  <w:num w:numId="19">
    <w:abstractNumId w:val="22"/>
  </w:num>
  <w:num w:numId="20">
    <w:abstractNumId w:val="3"/>
  </w:num>
  <w:num w:numId="21">
    <w:abstractNumId w:val="12"/>
  </w:num>
  <w:num w:numId="22">
    <w:abstractNumId w:val="4"/>
  </w:num>
  <w:num w:numId="23">
    <w:abstractNumId w:val="6"/>
  </w:num>
  <w:num w:numId="24">
    <w:abstractNumId w:val="9"/>
  </w:num>
  <w:num w:numId="25">
    <w:abstractNumId w:val="17"/>
  </w:num>
  <w:num w:numId="26">
    <w:abstractNumId w:val="24"/>
  </w:num>
  <w:num w:numId="27">
    <w:abstractNumId w:val="15"/>
  </w:num>
  <w:num w:numId="28">
    <w:abstractNumId w:val="5"/>
  </w:num>
  <w:num w:numId="29">
    <w:abstractNumId w:val="18"/>
  </w:num>
  <w:num w:numId="3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08"/>
  <w:hyphenationZone w:val="425"/>
  <w:evenAndOddHeaders/>
  <w:drawingGridHorizontalSpacing w:val="12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3D7899"/>
    <w:rsid w:val="000072A8"/>
    <w:rsid w:val="0002315E"/>
    <w:rsid w:val="00030734"/>
    <w:rsid w:val="00030BBE"/>
    <w:rsid w:val="000342B4"/>
    <w:rsid w:val="0003782A"/>
    <w:rsid w:val="00041F24"/>
    <w:rsid w:val="00042B21"/>
    <w:rsid w:val="00044F0F"/>
    <w:rsid w:val="000457D8"/>
    <w:rsid w:val="00057004"/>
    <w:rsid w:val="0006076A"/>
    <w:rsid w:val="000677E3"/>
    <w:rsid w:val="00067A52"/>
    <w:rsid w:val="00067F72"/>
    <w:rsid w:val="000721A7"/>
    <w:rsid w:val="00072F4F"/>
    <w:rsid w:val="00077D27"/>
    <w:rsid w:val="00081190"/>
    <w:rsid w:val="0009149A"/>
    <w:rsid w:val="000935B6"/>
    <w:rsid w:val="000A18AC"/>
    <w:rsid w:val="000A3EF7"/>
    <w:rsid w:val="000B28CD"/>
    <w:rsid w:val="000C2502"/>
    <w:rsid w:val="000C75A5"/>
    <w:rsid w:val="000D1703"/>
    <w:rsid w:val="000D27E4"/>
    <w:rsid w:val="000E1E7C"/>
    <w:rsid w:val="000E216C"/>
    <w:rsid w:val="000F72BE"/>
    <w:rsid w:val="0010703F"/>
    <w:rsid w:val="00110739"/>
    <w:rsid w:val="00111210"/>
    <w:rsid w:val="00115739"/>
    <w:rsid w:val="0013130F"/>
    <w:rsid w:val="00133242"/>
    <w:rsid w:val="00133A2C"/>
    <w:rsid w:val="00134628"/>
    <w:rsid w:val="0013765B"/>
    <w:rsid w:val="001433CF"/>
    <w:rsid w:val="00145849"/>
    <w:rsid w:val="00146903"/>
    <w:rsid w:val="0015680C"/>
    <w:rsid w:val="001637AD"/>
    <w:rsid w:val="00163861"/>
    <w:rsid w:val="001667AF"/>
    <w:rsid w:val="00175F8A"/>
    <w:rsid w:val="00176990"/>
    <w:rsid w:val="00176F09"/>
    <w:rsid w:val="001801A1"/>
    <w:rsid w:val="00184772"/>
    <w:rsid w:val="00184FE5"/>
    <w:rsid w:val="001A240A"/>
    <w:rsid w:val="001A318C"/>
    <w:rsid w:val="001C147F"/>
    <w:rsid w:val="001C14C0"/>
    <w:rsid w:val="001C66A5"/>
    <w:rsid w:val="001F3E1C"/>
    <w:rsid w:val="001F45AB"/>
    <w:rsid w:val="001F7586"/>
    <w:rsid w:val="002017B9"/>
    <w:rsid w:val="002053FF"/>
    <w:rsid w:val="002069ED"/>
    <w:rsid w:val="002126DD"/>
    <w:rsid w:val="00215A60"/>
    <w:rsid w:val="00232676"/>
    <w:rsid w:val="00233476"/>
    <w:rsid w:val="00233E2C"/>
    <w:rsid w:val="002351D5"/>
    <w:rsid w:val="002355D4"/>
    <w:rsid w:val="00246CF1"/>
    <w:rsid w:val="00247813"/>
    <w:rsid w:val="00260B94"/>
    <w:rsid w:val="002635FE"/>
    <w:rsid w:val="00280FC7"/>
    <w:rsid w:val="0028244A"/>
    <w:rsid w:val="002910C5"/>
    <w:rsid w:val="002A0F6F"/>
    <w:rsid w:val="002B2720"/>
    <w:rsid w:val="002B71ED"/>
    <w:rsid w:val="002C2905"/>
    <w:rsid w:val="002D659C"/>
    <w:rsid w:val="002E112F"/>
    <w:rsid w:val="00306791"/>
    <w:rsid w:val="00313B03"/>
    <w:rsid w:val="00320170"/>
    <w:rsid w:val="00323673"/>
    <w:rsid w:val="003355A9"/>
    <w:rsid w:val="00335673"/>
    <w:rsid w:val="003368B2"/>
    <w:rsid w:val="003526CD"/>
    <w:rsid w:val="00357245"/>
    <w:rsid w:val="00361DA1"/>
    <w:rsid w:val="00385387"/>
    <w:rsid w:val="00386D17"/>
    <w:rsid w:val="00387B55"/>
    <w:rsid w:val="00394B2B"/>
    <w:rsid w:val="003A62F9"/>
    <w:rsid w:val="003B0E8F"/>
    <w:rsid w:val="003B1F85"/>
    <w:rsid w:val="003B277B"/>
    <w:rsid w:val="003C6311"/>
    <w:rsid w:val="003C792E"/>
    <w:rsid w:val="003D237D"/>
    <w:rsid w:val="003D7899"/>
    <w:rsid w:val="003E23F3"/>
    <w:rsid w:val="003E2772"/>
    <w:rsid w:val="003E35B7"/>
    <w:rsid w:val="003F6893"/>
    <w:rsid w:val="00403ECA"/>
    <w:rsid w:val="00423A97"/>
    <w:rsid w:val="004342F9"/>
    <w:rsid w:val="00443D0A"/>
    <w:rsid w:val="00444A40"/>
    <w:rsid w:val="00447807"/>
    <w:rsid w:val="0045169E"/>
    <w:rsid w:val="0046182F"/>
    <w:rsid w:val="004634C7"/>
    <w:rsid w:val="004640D5"/>
    <w:rsid w:val="00464B80"/>
    <w:rsid w:val="00471542"/>
    <w:rsid w:val="0048473C"/>
    <w:rsid w:val="004900C5"/>
    <w:rsid w:val="0049623D"/>
    <w:rsid w:val="004A42C4"/>
    <w:rsid w:val="004B24AC"/>
    <w:rsid w:val="004B5C1B"/>
    <w:rsid w:val="004C05C7"/>
    <w:rsid w:val="004D0385"/>
    <w:rsid w:val="004D6BF4"/>
    <w:rsid w:val="004E195D"/>
    <w:rsid w:val="004E1A6C"/>
    <w:rsid w:val="004E2C52"/>
    <w:rsid w:val="004E3B7B"/>
    <w:rsid w:val="004F51D2"/>
    <w:rsid w:val="004F6804"/>
    <w:rsid w:val="005008B8"/>
    <w:rsid w:val="0051250F"/>
    <w:rsid w:val="00515EDE"/>
    <w:rsid w:val="00526C59"/>
    <w:rsid w:val="0053328E"/>
    <w:rsid w:val="00555D16"/>
    <w:rsid w:val="0055622B"/>
    <w:rsid w:val="00577CFD"/>
    <w:rsid w:val="00581380"/>
    <w:rsid w:val="00591B8B"/>
    <w:rsid w:val="00592685"/>
    <w:rsid w:val="005A0139"/>
    <w:rsid w:val="005A2BBA"/>
    <w:rsid w:val="005B0034"/>
    <w:rsid w:val="005C7F86"/>
    <w:rsid w:val="005D06A5"/>
    <w:rsid w:val="005D2362"/>
    <w:rsid w:val="005D2AF4"/>
    <w:rsid w:val="005D45D9"/>
    <w:rsid w:val="005E25F5"/>
    <w:rsid w:val="005E5EDC"/>
    <w:rsid w:val="005F440F"/>
    <w:rsid w:val="00607C69"/>
    <w:rsid w:val="00612708"/>
    <w:rsid w:val="00615E3C"/>
    <w:rsid w:val="00623447"/>
    <w:rsid w:val="006326EB"/>
    <w:rsid w:val="00656FAF"/>
    <w:rsid w:val="006625B4"/>
    <w:rsid w:val="0068582D"/>
    <w:rsid w:val="00687909"/>
    <w:rsid w:val="006A3148"/>
    <w:rsid w:val="006A41E8"/>
    <w:rsid w:val="006A44EE"/>
    <w:rsid w:val="006B0423"/>
    <w:rsid w:val="006B13DB"/>
    <w:rsid w:val="006B2139"/>
    <w:rsid w:val="006C391C"/>
    <w:rsid w:val="006C3B8C"/>
    <w:rsid w:val="006C5257"/>
    <w:rsid w:val="006C6866"/>
    <w:rsid w:val="006D01FC"/>
    <w:rsid w:val="006D3C87"/>
    <w:rsid w:val="006E0719"/>
    <w:rsid w:val="006E3C9D"/>
    <w:rsid w:val="006E439C"/>
    <w:rsid w:val="006E5B98"/>
    <w:rsid w:val="006E61C1"/>
    <w:rsid w:val="00700D32"/>
    <w:rsid w:val="00704F07"/>
    <w:rsid w:val="007058FE"/>
    <w:rsid w:val="00711C71"/>
    <w:rsid w:val="007223E6"/>
    <w:rsid w:val="00726522"/>
    <w:rsid w:val="0073197D"/>
    <w:rsid w:val="00734CB8"/>
    <w:rsid w:val="00741E7C"/>
    <w:rsid w:val="00752D25"/>
    <w:rsid w:val="00753302"/>
    <w:rsid w:val="0075539B"/>
    <w:rsid w:val="00760736"/>
    <w:rsid w:val="007616BB"/>
    <w:rsid w:val="00765448"/>
    <w:rsid w:val="007732BD"/>
    <w:rsid w:val="00773B44"/>
    <w:rsid w:val="00773EBA"/>
    <w:rsid w:val="0078359B"/>
    <w:rsid w:val="00787AD2"/>
    <w:rsid w:val="007905B6"/>
    <w:rsid w:val="00793578"/>
    <w:rsid w:val="007A2FCC"/>
    <w:rsid w:val="007A3165"/>
    <w:rsid w:val="007A35D1"/>
    <w:rsid w:val="007B098D"/>
    <w:rsid w:val="007B4388"/>
    <w:rsid w:val="007C6219"/>
    <w:rsid w:val="007D6A4B"/>
    <w:rsid w:val="007D722B"/>
    <w:rsid w:val="007F2D2C"/>
    <w:rsid w:val="00805726"/>
    <w:rsid w:val="008122F3"/>
    <w:rsid w:val="0082334D"/>
    <w:rsid w:val="0082379B"/>
    <w:rsid w:val="0084255A"/>
    <w:rsid w:val="008673D9"/>
    <w:rsid w:val="00876213"/>
    <w:rsid w:val="0088152D"/>
    <w:rsid w:val="008B1CFB"/>
    <w:rsid w:val="008C3DF8"/>
    <w:rsid w:val="008F2347"/>
    <w:rsid w:val="00902453"/>
    <w:rsid w:val="00904C12"/>
    <w:rsid w:val="00905040"/>
    <w:rsid w:val="00927E8F"/>
    <w:rsid w:val="00951CCB"/>
    <w:rsid w:val="00952C31"/>
    <w:rsid w:val="00955CCB"/>
    <w:rsid w:val="00960C50"/>
    <w:rsid w:val="00967226"/>
    <w:rsid w:val="00977499"/>
    <w:rsid w:val="00983150"/>
    <w:rsid w:val="00984F6E"/>
    <w:rsid w:val="009933CD"/>
    <w:rsid w:val="00994471"/>
    <w:rsid w:val="009A0667"/>
    <w:rsid w:val="009A3F25"/>
    <w:rsid w:val="009A5E9E"/>
    <w:rsid w:val="009B1A2B"/>
    <w:rsid w:val="009B2B66"/>
    <w:rsid w:val="009B31CC"/>
    <w:rsid w:val="009B5A52"/>
    <w:rsid w:val="009C15BD"/>
    <w:rsid w:val="00A008CF"/>
    <w:rsid w:val="00A0498C"/>
    <w:rsid w:val="00A05CDB"/>
    <w:rsid w:val="00A151D0"/>
    <w:rsid w:val="00A242C5"/>
    <w:rsid w:val="00A36D59"/>
    <w:rsid w:val="00A44454"/>
    <w:rsid w:val="00A451A6"/>
    <w:rsid w:val="00A77373"/>
    <w:rsid w:val="00A84F32"/>
    <w:rsid w:val="00A966BE"/>
    <w:rsid w:val="00AC56EA"/>
    <w:rsid w:val="00AC674B"/>
    <w:rsid w:val="00AC6F95"/>
    <w:rsid w:val="00AD34E4"/>
    <w:rsid w:val="00AE17FE"/>
    <w:rsid w:val="00AE1D09"/>
    <w:rsid w:val="00AE27C1"/>
    <w:rsid w:val="00AE405D"/>
    <w:rsid w:val="00AF3362"/>
    <w:rsid w:val="00AF55AD"/>
    <w:rsid w:val="00B0153C"/>
    <w:rsid w:val="00B04C02"/>
    <w:rsid w:val="00B076F8"/>
    <w:rsid w:val="00B2687A"/>
    <w:rsid w:val="00B2710C"/>
    <w:rsid w:val="00B27844"/>
    <w:rsid w:val="00B30899"/>
    <w:rsid w:val="00B32690"/>
    <w:rsid w:val="00B331E4"/>
    <w:rsid w:val="00B34993"/>
    <w:rsid w:val="00B4036F"/>
    <w:rsid w:val="00B42190"/>
    <w:rsid w:val="00B42C92"/>
    <w:rsid w:val="00B478FD"/>
    <w:rsid w:val="00B47AA9"/>
    <w:rsid w:val="00B5381F"/>
    <w:rsid w:val="00B54D46"/>
    <w:rsid w:val="00B6209E"/>
    <w:rsid w:val="00B70BCA"/>
    <w:rsid w:val="00B7220F"/>
    <w:rsid w:val="00B74AED"/>
    <w:rsid w:val="00B83ED9"/>
    <w:rsid w:val="00B92EDA"/>
    <w:rsid w:val="00BA58DA"/>
    <w:rsid w:val="00BB09D2"/>
    <w:rsid w:val="00BB17F2"/>
    <w:rsid w:val="00BB3920"/>
    <w:rsid w:val="00BC0E8B"/>
    <w:rsid w:val="00BE4C88"/>
    <w:rsid w:val="00BE5088"/>
    <w:rsid w:val="00BE5DC5"/>
    <w:rsid w:val="00BF382B"/>
    <w:rsid w:val="00C00AAC"/>
    <w:rsid w:val="00C00C85"/>
    <w:rsid w:val="00C0474A"/>
    <w:rsid w:val="00C10C32"/>
    <w:rsid w:val="00C12EDB"/>
    <w:rsid w:val="00C14539"/>
    <w:rsid w:val="00C23AFF"/>
    <w:rsid w:val="00C27CB0"/>
    <w:rsid w:val="00C32B38"/>
    <w:rsid w:val="00C32BF0"/>
    <w:rsid w:val="00C35B58"/>
    <w:rsid w:val="00C404AB"/>
    <w:rsid w:val="00C40701"/>
    <w:rsid w:val="00C51422"/>
    <w:rsid w:val="00C55EB2"/>
    <w:rsid w:val="00C565CE"/>
    <w:rsid w:val="00C57DE7"/>
    <w:rsid w:val="00C6367B"/>
    <w:rsid w:val="00C63E57"/>
    <w:rsid w:val="00C64E2A"/>
    <w:rsid w:val="00C66A6D"/>
    <w:rsid w:val="00C70265"/>
    <w:rsid w:val="00C72144"/>
    <w:rsid w:val="00C85668"/>
    <w:rsid w:val="00C857CB"/>
    <w:rsid w:val="00C91E5B"/>
    <w:rsid w:val="00C94046"/>
    <w:rsid w:val="00CA6BDE"/>
    <w:rsid w:val="00CC7A19"/>
    <w:rsid w:val="00CC7D00"/>
    <w:rsid w:val="00CD763A"/>
    <w:rsid w:val="00CE767D"/>
    <w:rsid w:val="00CF4300"/>
    <w:rsid w:val="00D26401"/>
    <w:rsid w:val="00D27357"/>
    <w:rsid w:val="00D306E1"/>
    <w:rsid w:val="00D3076F"/>
    <w:rsid w:val="00D37322"/>
    <w:rsid w:val="00D525A2"/>
    <w:rsid w:val="00D55E77"/>
    <w:rsid w:val="00D5675C"/>
    <w:rsid w:val="00D57ACE"/>
    <w:rsid w:val="00D57FD1"/>
    <w:rsid w:val="00D6513E"/>
    <w:rsid w:val="00D80BC7"/>
    <w:rsid w:val="00D83A40"/>
    <w:rsid w:val="00D84C56"/>
    <w:rsid w:val="00D873E7"/>
    <w:rsid w:val="00D92CDC"/>
    <w:rsid w:val="00DA7840"/>
    <w:rsid w:val="00DB0FB6"/>
    <w:rsid w:val="00DC1E2D"/>
    <w:rsid w:val="00DC2772"/>
    <w:rsid w:val="00DC4152"/>
    <w:rsid w:val="00DD70E2"/>
    <w:rsid w:val="00DE1FBA"/>
    <w:rsid w:val="00DE6FE0"/>
    <w:rsid w:val="00E02FA1"/>
    <w:rsid w:val="00E03378"/>
    <w:rsid w:val="00E110B3"/>
    <w:rsid w:val="00E124C3"/>
    <w:rsid w:val="00E14C7D"/>
    <w:rsid w:val="00E3304D"/>
    <w:rsid w:val="00E4331E"/>
    <w:rsid w:val="00E477F4"/>
    <w:rsid w:val="00E47D68"/>
    <w:rsid w:val="00E5684C"/>
    <w:rsid w:val="00E646E8"/>
    <w:rsid w:val="00E70BEF"/>
    <w:rsid w:val="00E71F5B"/>
    <w:rsid w:val="00E749A1"/>
    <w:rsid w:val="00E75D24"/>
    <w:rsid w:val="00E8178B"/>
    <w:rsid w:val="00E91BB6"/>
    <w:rsid w:val="00E94FE8"/>
    <w:rsid w:val="00EA1E1F"/>
    <w:rsid w:val="00EA4751"/>
    <w:rsid w:val="00EA53B9"/>
    <w:rsid w:val="00EA6BC8"/>
    <w:rsid w:val="00EB2314"/>
    <w:rsid w:val="00EB4EF4"/>
    <w:rsid w:val="00EC4BC9"/>
    <w:rsid w:val="00ED2D3D"/>
    <w:rsid w:val="00ED56BD"/>
    <w:rsid w:val="00EE01B4"/>
    <w:rsid w:val="00EE39C6"/>
    <w:rsid w:val="00EE58C8"/>
    <w:rsid w:val="00EF1622"/>
    <w:rsid w:val="00EF1BC1"/>
    <w:rsid w:val="00F000E4"/>
    <w:rsid w:val="00F06053"/>
    <w:rsid w:val="00F07151"/>
    <w:rsid w:val="00F073B3"/>
    <w:rsid w:val="00F07ED4"/>
    <w:rsid w:val="00F20DC9"/>
    <w:rsid w:val="00F2162F"/>
    <w:rsid w:val="00F259FD"/>
    <w:rsid w:val="00F36A22"/>
    <w:rsid w:val="00F427D1"/>
    <w:rsid w:val="00F46F03"/>
    <w:rsid w:val="00F478FD"/>
    <w:rsid w:val="00F51FEA"/>
    <w:rsid w:val="00F62036"/>
    <w:rsid w:val="00F732C5"/>
    <w:rsid w:val="00F74B1E"/>
    <w:rsid w:val="00F83734"/>
    <w:rsid w:val="00F840AA"/>
    <w:rsid w:val="00F913AC"/>
    <w:rsid w:val="00F9423F"/>
    <w:rsid w:val="00FA1786"/>
    <w:rsid w:val="00FA3818"/>
    <w:rsid w:val="00FA567C"/>
    <w:rsid w:val="00FA7439"/>
    <w:rsid w:val="00FB19E0"/>
    <w:rsid w:val="00FB4FB8"/>
    <w:rsid w:val="00FC7AE1"/>
    <w:rsid w:val="00FD6293"/>
    <w:rsid w:val="00FE0D20"/>
    <w:rsid w:val="00FE13C9"/>
    <w:rsid w:val="00FE7C0F"/>
    <w:rsid w:val="00FF2178"/>
    <w:rsid w:val="00FF4F1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D7899"/>
    <w:pPr>
      <w:suppressAutoHyphens/>
      <w:spacing w:after="0" w:line="240" w:lineRule="auto"/>
    </w:pPr>
    <w:rPr>
      <w:rFonts w:ascii="Times New Roman" w:eastAsia="Times New Roman" w:hAnsi="Times New Roman" w:cs="Times New Roman"/>
      <w:sz w:val="24"/>
      <w:szCs w:val="24"/>
      <w:lang w:eastAsia="ar-SA"/>
    </w:rPr>
  </w:style>
  <w:style w:type="paragraph" w:styleId="Nadpis1">
    <w:name w:val="heading 1"/>
    <w:basedOn w:val="Normln"/>
    <w:next w:val="Normln"/>
    <w:link w:val="Nadpis1Char"/>
    <w:autoRedefine/>
    <w:uiPriority w:val="9"/>
    <w:qFormat/>
    <w:rsid w:val="007616BB"/>
    <w:pPr>
      <w:keepNext/>
      <w:keepLines/>
      <w:numPr>
        <w:numId w:val="30"/>
      </w:numPr>
      <w:suppressAutoHyphens w:val="0"/>
      <w:spacing w:before="480" w:after="240" w:line="276" w:lineRule="auto"/>
      <w:jc w:val="both"/>
      <w:outlineLvl w:val="0"/>
    </w:pPr>
    <w:rPr>
      <w:b/>
      <w:kern w:val="28"/>
      <w:sz w:val="32"/>
      <w:szCs w:val="20"/>
      <w:lang w:eastAsia="cs-CZ"/>
    </w:rPr>
  </w:style>
  <w:style w:type="paragraph" w:styleId="Nadpis2">
    <w:name w:val="heading 2"/>
    <w:basedOn w:val="Normln"/>
    <w:next w:val="Normln"/>
    <w:link w:val="Nadpis2Char"/>
    <w:autoRedefine/>
    <w:uiPriority w:val="9"/>
    <w:unhideWhenUsed/>
    <w:qFormat/>
    <w:rsid w:val="00C27CB0"/>
    <w:pPr>
      <w:keepNext/>
      <w:keepLines/>
      <w:numPr>
        <w:ilvl w:val="1"/>
        <w:numId w:val="30"/>
      </w:numPr>
      <w:suppressAutoHyphens w:val="0"/>
      <w:spacing w:before="200" w:after="240" w:line="276" w:lineRule="auto"/>
      <w:outlineLvl w:val="1"/>
    </w:pPr>
    <w:rPr>
      <w:rFonts w:eastAsiaTheme="majorEastAsia" w:cstheme="majorBidi"/>
      <w:b/>
      <w:bCs/>
      <w:sz w:val="28"/>
      <w:szCs w:val="26"/>
    </w:rPr>
  </w:style>
  <w:style w:type="paragraph" w:styleId="Nadpis3">
    <w:name w:val="heading 3"/>
    <w:basedOn w:val="Normln"/>
    <w:next w:val="Normln"/>
    <w:link w:val="Nadpis3Char"/>
    <w:autoRedefine/>
    <w:uiPriority w:val="9"/>
    <w:unhideWhenUsed/>
    <w:qFormat/>
    <w:rsid w:val="00E8178B"/>
    <w:pPr>
      <w:keepNext/>
      <w:keepLines/>
      <w:numPr>
        <w:ilvl w:val="2"/>
        <w:numId w:val="30"/>
      </w:numPr>
      <w:spacing w:before="200" w:after="240" w:line="276" w:lineRule="auto"/>
      <w:outlineLvl w:val="2"/>
    </w:pPr>
    <w:rPr>
      <w:rFonts w:eastAsiaTheme="majorEastAsia" w:cstheme="majorBidi"/>
      <w:b/>
      <w:bCs/>
      <w:lang w:eastAsia="en-US"/>
    </w:rPr>
  </w:style>
  <w:style w:type="paragraph" w:styleId="Nadpis4">
    <w:name w:val="heading 4"/>
    <w:basedOn w:val="Normln"/>
    <w:next w:val="Normln"/>
    <w:link w:val="Nadpis4Char"/>
    <w:uiPriority w:val="9"/>
    <w:unhideWhenUsed/>
    <w:qFormat/>
    <w:rsid w:val="007A3165"/>
    <w:pPr>
      <w:keepNext/>
      <w:keepLines/>
      <w:numPr>
        <w:ilvl w:val="3"/>
        <w:numId w:val="30"/>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7A3165"/>
    <w:pPr>
      <w:keepNext/>
      <w:keepLines/>
      <w:numPr>
        <w:ilvl w:val="4"/>
        <w:numId w:val="30"/>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A3165"/>
    <w:pPr>
      <w:keepNext/>
      <w:keepLines/>
      <w:numPr>
        <w:ilvl w:val="5"/>
        <w:numId w:val="30"/>
      </w:numPr>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A3165"/>
    <w:pPr>
      <w:keepNext/>
      <w:keepLines/>
      <w:numPr>
        <w:ilvl w:val="6"/>
        <w:numId w:val="30"/>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A3165"/>
    <w:pPr>
      <w:keepNext/>
      <w:keepLines/>
      <w:numPr>
        <w:ilvl w:val="7"/>
        <w:numId w:val="30"/>
      </w:numPr>
      <w:spacing w:before="20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7A3165"/>
    <w:pPr>
      <w:keepNext/>
      <w:keepLines/>
      <w:numPr>
        <w:ilvl w:val="8"/>
        <w:numId w:val="3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D7899"/>
    <w:pPr>
      <w:tabs>
        <w:tab w:val="center" w:pos="4536"/>
        <w:tab w:val="right" w:pos="9072"/>
      </w:tabs>
    </w:pPr>
  </w:style>
  <w:style w:type="character" w:customStyle="1" w:styleId="ZhlavChar">
    <w:name w:val="Záhlaví Char"/>
    <w:basedOn w:val="Standardnpsmoodstavce"/>
    <w:link w:val="Zhlav"/>
    <w:uiPriority w:val="99"/>
    <w:rsid w:val="003D7899"/>
    <w:rPr>
      <w:rFonts w:ascii="Times New Roman" w:hAnsi="Times New Roman"/>
      <w:sz w:val="24"/>
    </w:rPr>
  </w:style>
  <w:style w:type="paragraph" w:styleId="Zpat">
    <w:name w:val="footer"/>
    <w:basedOn w:val="Normln"/>
    <w:link w:val="ZpatChar"/>
    <w:uiPriority w:val="99"/>
    <w:unhideWhenUsed/>
    <w:rsid w:val="003D7899"/>
    <w:pPr>
      <w:tabs>
        <w:tab w:val="center" w:pos="4536"/>
        <w:tab w:val="right" w:pos="9072"/>
      </w:tabs>
    </w:pPr>
  </w:style>
  <w:style w:type="character" w:customStyle="1" w:styleId="ZpatChar">
    <w:name w:val="Zápatí Char"/>
    <w:basedOn w:val="Standardnpsmoodstavce"/>
    <w:link w:val="Zpat"/>
    <w:uiPriority w:val="99"/>
    <w:rsid w:val="003D7899"/>
    <w:rPr>
      <w:rFonts w:ascii="Times New Roman" w:hAnsi="Times New Roman"/>
      <w:sz w:val="24"/>
    </w:rPr>
  </w:style>
  <w:style w:type="paragraph" w:styleId="Zkladntext">
    <w:name w:val="Body Text"/>
    <w:basedOn w:val="Normln"/>
    <w:link w:val="ZkladntextChar"/>
    <w:rsid w:val="003D7899"/>
    <w:pPr>
      <w:jc w:val="both"/>
    </w:pPr>
    <w:rPr>
      <w:szCs w:val="20"/>
    </w:rPr>
  </w:style>
  <w:style w:type="character" w:customStyle="1" w:styleId="ZkladntextChar">
    <w:name w:val="Základní text Char"/>
    <w:basedOn w:val="Standardnpsmoodstavce"/>
    <w:link w:val="Zkladntext"/>
    <w:rsid w:val="003D7899"/>
    <w:rPr>
      <w:rFonts w:ascii="Times New Roman" w:eastAsia="Times New Roman" w:hAnsi="Times New Roman" w:cs="Times New Roman"/>
      <w:sz w:val="24"/>
      <w:szCs w:val="20"/>
      <w:lang w:eastAsia="ar-SA"/>
    </w:rPr>
  </w:style>
  <w:style w:type="paragraph" w:customStyle="1" w:styleId="Diplomka-textodstavce">
    <w:name w:val="Diplomka - text odstavce"/>
    <w:rsid w:val="003D7899"/>
    <w:pPr>
      <w:suppressAutoHyphens/>
      <w:spacing w:before="120" w:after="120" w:line="360" w:lineRule="auto"/>
      <w:jc w:val="both"/>
    </w:pPr>
    <w:rPr>
      <w:rFonts w:ascii="Times New Roman" w:eastAsia="Arial" w:hAnsi="Times New Roman" w:cs="Times New Roman"/>
      <w:sz w:val="24"/>
      <w:szCs w:val="20"/>
      <w:lang w:eastAsia="ar-SA"/>
    </w:rPr>
  </w:style>
  <w:style w:type="character" w:customStyle="1" w:styleId="Nadpis1Char">
    <w:name w:val="Nadpis 1 Char"/>
    <w:basedOn w:val="Standardnpsmoodstavce"/>
    <w:link w:val="Nadpis1"/>
    <w:uiPriority w:val="9"/>
    <w:rsid w:val="007616BB"/>
    <w:rPr>
      <w:rFonts w:ascii="Times New Roman" w:eastAsia="Times New Roman" w:hAnsi="Times New Roman" w:cs="Times New Roman"/>
      <w:b/>
      <w:kern w:val="28"/>
      <w:sz w:val="32"/>
      <w:szCs w:val="20"/>
      <w:lang w:eastAsia="cs-CZ"/>
    </w:rPr>
  </w:style>
  <w:style w:type="character" w:customStyle="1" w:styleId="Nadpis2Char">
    <w:name w:val="Nadpis 2 Char"/>
    <w:basedOn w:val="Standardnpsmoodstavce"/>
    <w:link w:val="Nadpis2"/>
    <w:uiPriority w:val="9"/>
    <w:rsid w:val="00C27CB0"/>
    <w:rPr>
      <w:rFonts w:ascii="Times New Roman" w:eastAsiaTheme="majorEastAsia" w:hAnsi="Times New Roman" w:cstheme="majorBidi"/>
      <w:b/>
      <w:bCs/>
      <w:sz w:val="28"/>
      <w:szCs w:val="26"/>
      <w:lang w:eastAsia="ar-SA"/>
    </w:rPr>
  </w:style>
  <w:style w:type="character" w:customStyle="1" w:styleId="Nadpis3Char">
    <w:name w:val="Nadpis 3 Char"/>
    <w:basedOn w:val="Standardnpsmoodstavce"/>
    <w:link w:val="Nadpis3"/>
    <w:uiPriority w:val="9"/>
    <w:rsid w:val="00E8178B"/>
    <w:rPr>
      <w:rFonts w:ascii="Times New Roman" w:eastAsiaTheme="majorEastAsia" w:hAnsi="Times New Roman" w:cstheme="majorBidi"/>
      <w:b/>
      <w:bCs/>
      <w:sz w:val="24"/>
      <w:szCs w:val="24"/>
    </w:rPr>
  </w:style>
  <w:style w:type="paragraph" w:styleId="Odstavecseseznamem">
    <w:name w:val="List Paragraph"/>
    <w:basedOn w:val="Normln"/>
    <w:uiPriority w:val="34"/>
    <w:qFormat/>
    <w:rsid w:val="007A3165"/>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Textpoznpodarou">
    <w:name w:val="footnote text"/>
    <w:basedOn w:val="Normln"/>
    <w:link w:val="TextpoznpodarouChar"/>
    <w:uiPriority w:val="99"/>
    <w:semiHidden/>
    <w:unhideWhenUsed/>
    <w:rsid w:val="007A3165"/>
    <w:pPr>
      <w:suppressAutoHyphens w:val="0"/>
    </w:pPr>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semiHidden/>
    <w:rsid w:val="007A3165"/>
    <w:rPr>
      <w:sz w:val="20"/>
      <w:szCs w:val="20"/>
    </w:rPr>
  </w:style>
  <w:style w:type="character" w:styleId="Znakapoznpodarou">
    <w:name w:val="footnote reference"/>
    <w:basedOn w:val="Standardnpsmoodstavce"/>
    <w:uiPriority w:val="99"/>
    <w:semiHidden/>
    <w:unhideWhenUsed/>
    <w:rsid w:val="007A3165"/>
    <w:rPr>
      <w:vertAlign w:val="superscript"/>
    </w:rPr>
  </w:style>
  <w:style w:type="character" w:styleId="Hypertextovodkaz">
    <w:name w:val="Hyperlink"/>
    <w:basedOn w:val="Standardnpsmoodstavce"/>
    <w:uiPriority w:val="99"/>
    <w:unhideWhenUsed/>
    <w:rsid w:val="007A3165"/>
    <w:rPr>
      <w:color w:val="0000FF" w:themeColor="hyperlink"/>
      <w:u w:val="single"/>
    </w:rPr>
  </w:style>
  <w:style w:type="paragraph" w:styleId="Titulek">
    <w:name w:val="caption"/>
    <w:basedOn w:val="Normln"/>
    <w:next w:val="Normln"/>
    <w:uiPriority w:val="35"/>
    <w:unhideWhenUsed/>
    <w:qFormat/>
    <w:rsid w:val="007A3165"/>
    <w:pPr>
      <w:suppressAutoHyphens w:val="0"/>
      <w:spacing w:after="200"/>
    </w:pPr>
    <w:rPr>
      <w:rFonts w:asciiTheme="minorHAnsi" w:eastAsiaTheme="minorHAnsi" w:hAnsiTheme="minorHAnsi" w:cstheme="minorBidi"/>
      <w:b/>
      <w:bCs/>
      <w:color w:val="4F81BD" w:themeColor="accent1"/>
      <w:sz w:val="18"/>
      <w:szCs w:val="18"/>
      <w:lang w:eastAsia="en-US"/>
    </w:rPr>
  </w:style>
  <w:style w:type="paragraph" w:styleId="Textbubliny">
    <w:name w:val="Balloon Text"/>
    <w:basedOn w:val="Normln"/>
    <w:link w:val="TextbublinyChar"/>
    <w:uiPriority w:val="99"/>
    <w:semiHidden/>
    <w:unhideWhenUsed/>
    <w:rsid w:val="007A3165"/>
    <w:rPr>
      <w:rFonts w:ascii="Tahoma" w:hAnsi="Tahoma" w:cs="Tahoma"/>
      <w:sz w:val="16"/>
      <w:szCs w:val="16"/>
    </w:rPr>
  </w:style>
  <w:style w:type="character" w:customStyle="1" w:styleId="TextbublinyChar">
    <w:name w:val="Text bubliny Char"/>
    <w:basedOn w:val="Standardnpsmoodstavce"/>
    <w:link w:val="Textbubliny"/>
    <w:uiPriority w:val="99"/>
    <w:semiHidden/>
    <w:rsid w:val="007A3165"/>
    <w:rPr>
      <w:rFonts w:ascii="Tahoma" w:eastAsia="Times New Roman" w:hAnsi="Tahoma" w:cs="Tahoma"/>
      <w:sz w:val="16"/>
      <w:szCs w:val="16"/>
      <w:lang w:eastAsia="ar-SA"/>
    </w:rPr>
  </w:style>
  <w:style w:type="character" w:customStyle="1" w:styleId="Nadpis4Char">
    <w:name w:val="Nadpis 4 Char"/>
    <w:basedOn w:val="Standardnpsmoodstavce"/>
    <w:link w:val="Nadpis4"/>
    <w:uiPriority w:val="9"/>
    <w:rsid w:val="007A3165"/>
    <w:rPr>
      <w:rFonts w:asciiTheme="majorHAnsi" w:eastAsiaTheme="majorEastAsia" w:hAnsiTheme="majorHAnsi" w:cstheme="majorBidi"/>
      <w:b/>
      <w:bCs/>
      <w:i/>
      <w:iCs/>
      <w:color w:val="4F81BD" w:themeColor="accent1"/>
      <w:sz w:val="24"/>
      <w:szCs w:val="24"/>
      <w:lang w:eastAsia="ar-SA"/>
    </w:rPr>
  </w:style>
  <w:style w:type="character" w:customStyle="1" w:styleId="Nadpis5Char">
    <w:name w:val="Nadpis 5 Char"/>
    <w:basedOn w:val="Standardnpsmoodstavce"/>
    <w:link w:val="Nadpis5"/>
    <w:uiPriority w:val="9"/>
    <w:semiHidden/>
    <w:rsid w:val="007A3165"/>
    <w:rPr>
      <w:rFonts w:asciiTheme="majorHAnsi" w:eastAsiaTheme="majorEastAsia" w:hAnsiTheme="majorHAnsi" w:cstheme="majorBidi"/>
      <w:color w:val="243F60" w:themeColor="accent1" w:themeShade="7F"/>
      <w:sz w:val="24"/>
      <w:szCs w:val="24"/>
      <w:lang w:eastAsia="ar-SA"/>
    </w:rPr>
  </w:style>
  <w:style w:type="character" w:customStyle="1" w:styleId="Nadpis6Char">
    <w:name w:val="Nadpis 6 Char"/>
    <w:basedOn w:val="Standardnpsmoodstavce"/>
    <w:link w:val="Nadpis6"/>
    <w:uiPriority w:val="9"/>
    <w:semiHidden/>
    <w:rsid w:val="007A3165"/>
    <w:rPr>
      <w:rFonts w:asciiTheme="majorHAnsi" w:eastAsiaTheme="majorEastAsia" w:hAnsiTheme="majorHAnsi" w:cstheme="majorBidi"/>
      <w:i/>
      <w:iCs/>
      <w:color w:val="243F60" w:themeColor="accent1" w:themeShade="7F"/>
      <w:sz w:val="24"/>
      <w:szCs w:val="24"/>
      <w:lang w:eastAsia="ar-SA"/>
    </w:rPr>
  </w:style>
  <w:style w:type="character" w:customStyle="1" w:styleId="Nadpis7Char">
    <w:name w:val="Nadpis 7 Char"/>
    <w:basedOn w:val="Standardnpsmoodstavce"/>
    <w:link w:val="Nadpis7"/>
    <w:uiPriority w:val="9"/>
    <w:semiHidden/>
    <w:rsid w:val="007A3165"/>
    <w:rPr>
      <w:rFonts w:asciiTheme="majorHAnsi" w:eastAsiaTheme="majorEastAsia" w:hAnsiTheme="majorHAnsi" w:cstheme="majorBidi"/>
      <w:i/>
      <w:iCs/>
      <w:color w:val="404040" w:themeColor="text1" w:themeTint="BF"/>
      <w:sz w:val="24"/>
      <w:szCs w:val="24"/>
      <w:lang w:eastAsia="ar-SA"/>
    </w:rPr>
  </w:style>
  <w:style w:type="character" w:customStyle="1" w:styleId="Nadpis8Char">
    <w:name w:val="Nadpis 8 Char"/>
    <w:basedOn w:val="Standardnpsmoodstavce"/>
    <w:link w:val="Nadpis8"/>
    <w:uiPriority w:val="9"/>
    <w:semiHidden/>
    <w:rsid w:val="007A3165"/>
    <w:rPr>
      <w:rFonts w:asciiTheme="majorHAnsi" w:eastAsiaTheme="majorEastAsia" w:hAnsiTheme="majorHAnsi" w:cstheme="majorBidi"/>
      <w:color w:val="404040" w:themeColor="text1" w:themeTint="BF"/>
      <w:sz w:val="20"/>
      <w:szCs w:val="20"/>
      <w:lang w:eastAsia="ar-SA"/>
    </w:rPr>
  </w:style>
  <w:style w:type="character" w:customStyle="1" w:styleId="Nadpis9Char">
    <w:name w:val="Nadpis 9 Char"/>
    <w:basedOn w:val="Standardnpsmoodstavce"/>
    <w:link w:val="Nadpis9"/>
    <w:uiPriority w:val="9"/>
    <w:semiHidden/>
    <w:rsid w:val="007A3165"/>
    <w:rPr>
      <w:rFonts w:asciiTheme="majorHAnsi" w:eastAsiaTheme="majorEastAsia" w:hAnsiTheme="majorHAnsi" w:cstheme="majorBidi"/>
      <w:i/>
      <w:iCs/>
      <w:color w:val="404040" w:themeColor="text1" w:themeTint="BF"/>
      <w:sz w:val="20"/>
      <w:szCs w:val="20"/>
      <w:lang w:eastAsia="ar-SA"/>
    </w:rPr>
  </w:style>
  <w:style w:type="paragraph" w:customStyle="1" w:styleId="Titulek1">
    <w:name w:val="Titulek1"/>
    <w:basedOn w:val="Normln"/>
    <w:next w:val="Normln"/>
    <w:rsid w:val="001C147F"/>
    <w:pPr>
      <w:keepNext/>
      <w:spacing w:before="240" w:after="120"/>
    </w:pPr>
    <w:rPr>
      <w:rFonts w:ascii="Arial Narrow" w:hAnsi="Arial Narrow"/>
      <w:b/>
      <w:sz w:val="28"/>
      <w:szCs w:val="20"/>
    </w:rPr>
  </w:style>
  <w:style w:type="character" w:customStyle="1" w:styleId="st">
    <w:name w:val="st"/>
    <w:basedOn w:val="Standardnpsmoodstavce"/>
    <w:rsid w:val="008122F3"/>
  </w:style>
  <w:style w:type="paragraph" w:styleId="Obsah1">
    <w:name w:val="toc 1"/>
    <w:basedOn w:val="Normln"/>
    <w:next w:val="Normln"/>
    <w:autoRedefine/>
    <w:uiPriority w:val="39"/>
    <w:unhideWhenUsed/>
    <w:rsid w:val="00D3076F"/>
    <w:pPr>
      <w:tabs>
        <w:tab w:val="left" w:pos="480"/>
        <w:tab w:val="right" w:leader="dot" w:pos="9060"/>
      </w:tabs>
      <w:spacing w:before="120" w:after="120" w:line="276" w:lineRule="auto"/>
    </w:pPr>
    <w:rPr>
      <w:rFonts w:asciiTheme="minorHAnsi" w:hAnsiTheme="minorHAnsi"/>
      <w:b/>
      <w:bCs/>
      <w:caps/>
      <w:sz w:val="20"/>
      <w:szCs w:val="20"/>
    </w:rPr>
  </w:style>
  <w:style w:type="paragraph" w:styleId="Obsah2">
    <w:name w:val="toc 2"/>
    <w:basedOn w:val="Normln"/>
    <w:next w:val="Normln"/>
    <w:autoRedefine/>
    <w:uiPriority w:val="39"/>
    <w:unhideWhenUsed/>
    <w:rsid w:val="008122F3"/>
    <w:pPr>
      <w:ind w:left="240"/>
    </w:pPr>
    <w:rPr>
      <w:rFonts w:asciiTheme="minorHAnsi" w:hAnsiTheme="minorHAnsi"/>
      <w:smallCaps/>
      <w:sz w:val="20"/>
      <w:szCs w:val="20"/>
    </w:rPr>
  </w:style>
  <w:style w:type="paragraph" w:styleId="Obsah3">
    <w:name w:val="toc 3"/>
    <w:basedOn w:val="Normln"/>
    <w:next w:val="Normln"/>
    <w:autoRedefine/>
    <w:uiPriority w:val="39"/>
    <w:unhideWhenUsed/>
    <w:rsid w:val="002017B9"/>
    <w:pPr>
      <w:tabs>
        <w:tab w:val="left" w:pos="1200"/>
        <w:tab w:val="right" w:leader="dot" w:pos="9060"/>
      </w:tabs>
      <w:spacing w:line="276" w:lineRule="auto"/>
      <w:ind w:left="480"/>
      <w:jc w:val="both"/>
    </w:pPr>
    <w:rPr>
      <w:rFonts w:eastAsiaTheme="majorEastAsia"/>
      <w:iCs/>
      <w:noProof/>
    </w:rPr>
  </w:style>
  <w:style w:type="paragraph" w:styleId="Obsah4">
    <w:name w:val="toc 4"/>
    <w:basedOn w:val="Normln"/>
    <w:next w:val="Normln"/>
    <w:autoRedefine/>
    <w:uiPriority w:val="39"/>
    <w:unhideWhenUsed/>
    <w:rsid w:val="008122F3"/>
    <w:pPr>
      <w:ind w:left="720"/>
    </w:pPr>
    <w:rPr>
      <w:rFonts w:asciiTheme="minorHAnsi" w:hAnsiTheme="minorHAnsi"/>
      <w:sz w:val="18"/>
      <w:szCs w:val="18"/>
    </w:rPr>
  </w:style>
  <w:style w:type="paragraph" w:styleId="Obsah5">
    <w:name w:val="toc 5"/>
    <w:basedOn w:val="Normln"/>
    <w:next w:val="Normln"/>
    <w:autoRedefine/>
    <w:uiPriority w:val="39"/>
    <w:unhideWhenUsed/>
    <w:rsid w:val="008122F3"/>
    <w:pPr>
      <w:ind w:left="960"/>
    </w:pPr>
    <w:rPr>
      <w:rFonts w:asciiTheme="minorHAnsi" w:hAnsiTheme="minorHAnsi"/>
      <w:sz w:val="18"/>
      <w:szCs w:val="18"/>
    </w:rPr>
  </w:style>
  <w:style w:type="paragraph" w:styleId="Obsah6">
    <w:name w:val="toc 6"/>
    <w:basedOn w:val="Normln"/>
    <w:next w:val="Normln"/>
    <w:autoRedefine/>
    <w:uiPriority w:val="39"/>
    <w:unhideWhenUsed/>
    <w:rsid w:val="008122F3"/>
    <w:pPr>
      <w:ind w:left="1200"/>
    </w:pPr>
    <w:rPr>
      <w:rFonts w:asciiTheme="minorHAnsi" w:hAnsiTheme="minorHAnsi"/>
      <w:sz w:val="18"/>
      <w:szCs w:val="18"/>
    </w:rPr>
  </w:style>
  <w:style w:type="paragraph" w:styleId="Obsah7">
    <w:name w:val="toc 7"/>
    <w:basedOn w:val="Normln"/>
    <w:next w:val="Normln"/>
    <w:autoRedefine/>
    <w:uiPriority w:val="39"/>
    <w:unhideWhenUsed/>
    <w:rsid w:val="008122F3"/>
    <w:pPr>
      <w:ind w:left="1440"/>
    </w:pPr>
    <w:rPr>
      <w:rFonts w:asciiTheme="minorHAnsi" w:hAnsiTheme="minorHAnsi"/>
      <w:sz w:val="18"/>
      <w:szCs w:val="18"/>
    </w:rPr>
  </w:style>
  <w:style w:type="paragraph" w:styleId="Obsah8">
    <w:name w:val="toc 8"/>
    <w:basedOn w:val="Normln"/>
    <w:next w:val="Normln"/>
    <w:autoRedefine/>
    <w:uiPriority w:val="39"/>
    <w:unhideWhenUsed/>
    <w:rsid w:val="008122F3"/>
    <w:pPr>
      <w:ind w:left="1680"/>
    </w:pPr>
    <w:rPr>
      <w:rFonts w:asciiTheme="minorHAnsi" w:hAnsiTheme="minorHAnsi"/>
      <w:sz w:val="18"/>
      <w:szCs w:val="18"/>
    </w:rPr>
  </w:style>
  <w:style w:type="paragraph" w:styleId="Obsah9">
    <w:name w:val="toc 9"/>
    <w:basedOn w:val="Normln"/>
    <w:next w:val="Normln"/>
    <w:autoRedefine/>
    <w:uiPriority w:val="39"/>
    <w:unhideWhenUsed/>
    <w:rsid w:val="008122F3"/>
    <w:pPr>
      <w:ind w:left="1920"/>
    </w:pPr>
    <w:rPr>
      <w:rFonts w:asciiTheme="minorHAnsi" w:hAnsiTheme="minorHAnsi"/>
      <w:sz w:val="18"/>
      <w:szCs w:val="18"/>
    </w:rPr>
  </w:style>
  <w:style w:type="table" w:customStyle="1" w:styleId="Barevnseznam1">
    <w:name w:val="Barevný seznam1"/>
    <w:basedOn w:val="Normlntabulka"/>
    <w:uiPriority w:val="72"/>
    <w:rsid w:val="0098315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Svtlstnovn1">
    <w:name w:val="Světlé stínování1"/>
    <w:basedOn w:val="Normlntabulka"/>
    <w:uiPriority w:val="60"/>
    <w:rsid w:val="005A013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vtlmka1">
    <w:name w:val="Světlá mřížka1"/>
    <w:basedOn w:val="Normlntabulka"/>
    <w:uiPriority w:val="62"/>
    <w:rsid w:val="005A013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vtlstnovnzvraznn11">
    <w:name w:val="Světlé stínování – zvýraznění 11"/>
    <w:basedOn w:val="Normlntabulka"/>
    <w:uiPriority w:val="60"/>
    <w:rsid w:val="005A013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Stednseznam21">
    <w:name w:val="Střední seznam 21"/>
    <w:basedOn w:val="Normlntabulka"/>
    <w:uiPriority w:val="66"/>
    <w:rsid w:val="005A013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Zstupntext">
    <w:name w:val="Placeholder Text"/>
    <w:basedOn w:val="Standardnpsmoodstavce"/>
    <w:uiPriority w:val="99"/>
    <w:semiHidden/>
    <w:rsid w:val="009B31CC"/>
    <w:rPr>
      <w:color w:val="808080"/>
    </w:rPr>
  </w:style>
  <w:style w:type="character" w:styleId="Siln">
    <w:name w:val="Strong"/>
    <w:basedOn w:val="Standardnpsmoodstavce"/>
    <w:uiPriority w:val="22"/>
    <w:qFormat/>
    <w:rsid w:val="00D6513E"/>
    <w:rPr>
      <w:b/>
      <w:bCs/>
    </w:rPr>
  </w:style>
  <w:style w:type="table" w:styleId="Mkatabulky">
    <w:name w:val="Table Grid"/>
    <w:basedOn w:val="Normlntabulka"/>
    <w:uiPriority w:val="59"/>
    <w:rsid w:val="00D651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tlstnovnzvraznn2">
    <w:name w:val="Light Shading Accent 2"/>
    <w:basedOn w:val="Normlntabulka"/>
    <w:uiPriority w:val="60"/>
    <w:rsid w:val="00D6513E"/>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eznamzvraznn2">
    <w:name w:val="Light List Accent 2"/>
    <w:basedOn w:val="Normlntabulka"/>
    <w:uiPriority w:val="61"/>
    <w:rsid w:val="00D6513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tednstnovn1zvraznn2">
    <w:name w:val="Medium Shading 1 Accent 2"/>
    <w:basedOn w:val="Normlntabulka"/>
    <w:uiPriority w:val="63"/>
    <w:rsid w:val="00D6513E"/>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Svtlstnovn10">
    <w:name w:val="Světlé stínování1"/>
    <w:basedOn w:val="Normlntabulka"/>
    <w:uiPriority w:val="60"/>
    <w:rsid w:val="00D6513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4">
    <w:name w:val="Light Shading Accent 4"/>
    <w:basedOn w:val="Normlntabulka"/>
    <w:uiPriority w:val="60"/>
    <w:rsid w:val="00D6513E"/>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vtlstnovnzvraznn110">
    <w:name w:val="Světlé stínování – zvýraznění 11"/>
    <w:basedOn w:val="Normlntabulka"/>
    <w:uiPriority w:val="60"/>
    <w:rsid w:val="00D6513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adpisobsahu">
    <w:name w:val="TOC Heading"/>
    <w:basedOn w:val="Nadpis1"/>
    <w:next w:val="Normln"/>
    <w:uiPriority w:val="39"/>
    <w:semiHidden/>
    <w:unhideWhenUsed/>
    <w:qFormat/>
    <w:rsid w:val="00D6513E"/>
    <w:pPr>
      <w:outlineLvl w:val="9"/>
    </w:pPr>
    <w:rPr>
      <w:rFonts w:asciiTheme="majorHAnsi" w:eastAsiaTheme="majorEastAsia" w:hAnsiTheme="majorHAnsi" w:cstheme="majorBidi"/>
      <w:bCs/>
      <w:color w:val="365F91" w:themeColor="accent1" w:themeShade="BF"/>
      <w:kern w:val="0"/>
      <w:sz w:val="28"/>
      <w:szCs w:val="28"/>
      <w:lang w:eastAsia="en-US"/>
    </w:rPr>
  </w:style>
  <w:style w:type="table" w:styleId="Svtlstnovnzvraznn5">
    <w:name w:val="Light Shading Accent 5"/>
    <w:basedOn w:val="Normlntabulka"/>
    <w:uiPriority w:val="60"/>
    <w:rsid w:val="00D6513E"/>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vtlstnovn2">
    <w:name w:val="Světlé stínování2"/>
    <w:basedOn w:val="Normlntabulka"/>
    <w:uiPriority w:val="60"/>
    <w:rsid w:val="00D6513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vtlstnovnzvraznn12">
    <w:name w:val="Světlé stínování – zvýraznění 12"/>
    <w:basedOn w:val="Normlntabulka"/>
    <w:uiPriority w:val="60"/>
    <w:rsid w:val="00D6513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3">
    <w:name w:val="Light Shading Accent 3"/>
    <w:basedOn w:val="Normlntabulka"/>
    <w:uiPriority w:val="60"/>
    <w:rsid w:val="00D6513E"/>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6">
    <w:name w:val="Light Shading Accent 6"/>
    <w:basedOn w:val="Normlntabulka"/>
    <w:uiPriority w:val="60"/>
    <w:rsid w:val="00D6513E"/>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tednstnovn11">
    <w:name w:val="Střední stínování 11"/>
    <w:basedOn w:val="Normlntabulka"/>
    <w:uiPriority w:val="63"/>
    <w:rsid w:val="00D6513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D6513E"/>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Stednstnovn1zvraznn11">
    <w:name w:val="Střední stínování 1 – zvýraznění 11"/>
    <w:basedOn w:val="Normlntabulka"/>
    <w:uiPriority w:val="63"/>
    <w:rsid w:val="00D6513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eznam1zvraznn4">
    <w:name w:val="Medium List 1 Accent 4"/>
    <w:basedOn w:val="Normlntabulka"/>
    <w:uiPriority w:val="65"/>
    <w:rsid w:val="00D6513E"/>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2zvraznn4">
    <w:name w:val="Medium List 2 Accent 4"/>
    <w:basedOn w:val="Normlntabulka"/>
    <w:uiPriority w:val="66"/>
    <w:rsid w:val="00D651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zvraznn4">
    <w:name w:val="Medium Grid 1 Accent 4"/>
    <w:basedOn w:val="Normlntabulka"/>
    <w:uiPriority w:val="67"/>
    <w:rsid w:val="00D6513E"/>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2zvraznn4">
    <w:name w:val="Medium Grid 2 Accent 4"/>
    <w:basedOn w:val="Normlntabulka"/>
    <w:uiPriority w:val="68"/>
    <w:rsid w:val="00D651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3zvraznn4">
    <w:name w:val="Medium Grid 3 Accent 4"/>
    <w:basedOn w:val="Normlntabulka"/>
    <w:uiPriority w:val="69"/>
    <w:rsid w:val="00D6513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Barevnseznamzvraznn3">
    <w:name w:val="Colorful List Accent 3"/>
    <w:basedOn w:val="Normlntabulka"/>
    <w:uiPriority w:val="72"/>
    <w:rsid w:val="00D6513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mkazvraznn4">
    <w:name w:val="Colorful Grid Accent 4"/>
    <w:basedOn w:val="Normlntabulka"/>
    <w:uiPriority w:val="73"/>
    <w:rsid w:val="00D6513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Svtlseznam1">
    <w:name w:val="Světlý seznam1"/>
    <w:basedOn w:val="Normlntabulka"/>
    <w:uiPriority w:val="61"/>
    <w:rsid w:val="00D6513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Stednseznam11">
    <w:name w:val="Střední seznam 11"/>
    <w:basedOn w:val="Normlntabulka"/>
    <w:uiPriority w:val="65"/>
    <w:rsid w:val="00D6513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Stednseznam210">
    <w:name w:val="Střední seznam 21"/>
    <w:basedOn w:val="Normlntabulka"/>
    <w:uiPriority w:val="66"/>
    <w:rsid w:val="00D6513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Odkaznakoment">
    <w:name w:val="annotation reference"/>
    <w:basedOn w:val="Standardnpsmoodstavce"/>
    <w:uiPriority w:val="99"/>
    <w:semiHidden/>
    <w:unhideWhenUsed/>
    <w:rsid w:val="00D6513E"/>
    <w:rPr>
      <w:sz w:val="16"/>
      <w:szCs w:val="16"/>
    </w:rPr>
  </w:style>
  <w:style w:type="paragraph" w:styleId="Textkomente">
    <w:name w:val="annotation text"/>
    <w:basedOn w:val="Normln"/>
    <w:link w:val="TextkomenteChar"/>
    <w:uiPriority w:val="99"/>
    <w:semiHidden/>
    <w:unhideWhenUsed/>
    <w:rsid w:val="00D6513E"/>
    <w:pPr>
      <w:suppressAutoHyphens w:val="0"/>
      <w:spacing w:after="200"/>
    </w:pPr>
    <w:rPr>
      <w:rFonts w:eastAsiaTheme="minorHAnsi" w:cstheme="minorBidi"/>
      <w:sz w:val="20"/>
      <w:szCs w:val="20"/>
      <w:lang w:eastAsia="en-US"/>
    </w:rPr>
  </w:style>
  <w:style w:type="character" w:customStyle="1" w:styleId="TextkomenteChar">
    <w:name w:val="Text komentáře Char"/>
    <w:basedOn w:val="Standardnpsmoodstavce"/>
    <w:link w:val="Textkomente"/>
    <w:uiPriority w:val="99"/>
    <w:semiHidden/>
    <w:rsid w:val="00D6513E"/>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D6513E"/>
    <w:rPr>
      <w:b/>
      <w:bCs/>
    </w:rPr>
  </w:style>
  <w:style w:type="character" w:customStyle="1" w:styleId="PedmtkomenteChar">
    <w:name w:val="Předmět komentáře Char"/>
    <w:basedOn w:val="TextkomenteChar"/>
    <w:link w:val="Pedmtkomente"/>
    <w:uiPriority w:val="99"/>
    <w:semiHidden/>
    <w:rsid w:val="00D6513E"/>
    <w:rPr>
      <w:b/>
      <w:bCs/>
    </w:rPr>
  </w:style>
  <w:style w:type="table" w:customStyle="1" w:styleId="Svtlseznamzvraznn11">
    <w:name w:val="Světlý seznam – zvýraznění 11"/>
    <w:basedOn w:val="Normlntabulka"/>
    <w:uiPriority w:val="61"/>
    <w:rsid w:val="00734CB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Seznamobrzk">
    <w:name w:val="table of figures"/>
    <w:basedOn w:val="Normln"/>
    <w:next w:val="Normln"/>
    <w:uiPriority w:val="99"/>
    <w:unhideWhenUsed/>
    <w:rsid w:val="00F51FEA"/>
  </w:style>
</w:styles>
</file>

<file path=word/webSettings.xml><?xml version="1.0" encoding="utf-8"?>
<w:webSettings xmlns:r="http://schemas.openxmlformats.org/officeDocument/2006/relationships" xmlns:w="http://schemas.openxmlformats.org/wordprocessingml/2006/main">
  <w:divs>
    <w:div w:id="31461117">
      <w:bodyDiv w:val="1"/>
      <w:marLeft w:val="0"/>
      <w:marRight w:val="0"/>
      <w:marTop w:val="0"/>
      <w:marBottom w:val="0"/>
      <w:divBdr>
        <w:top w:val="none" w:sz="0" w:space="0" w:color="auto"/>
        <w:left w:val="none" w:sz="0" w:space="0" w:color="auto"/>
        <w:bottom w:val="none" w:sz="0" w:space="0" w:color="auto"/>
        <w:right w:val="none" w:sz="0" w:space="0" w:color="auto"/>
      </w:divBdr>
      <w:divsChild>
        <w:div w:id="538124881">
          <w:marLeft w:val="0"/>
          <w:marRight w:val="0"/>
          <w:marTop w:val="0"/>
          <w:marBottom w:val="0"/>
          <w:divBdr>
            <w:top w:val="none" w:sz="0" w:space="0" w:color="auto"/>
            <w:left w:val="none" w:sz="0" w:space="0" w:color="auto"/>
            <w:bottom w:val="none" w:sz="0" w:space="0" w:color="auto"/>
            <w:right w:val="none" w:sz="0" w:space="0" w:color="auto"/>
          </w:divBdr>
        </w:div>
      </w:divsChild>
    </w:div>
    <w:div w:id="78409239">
      <w:bodyDiv w:val="1"/>
      <w:marLeft w:val="0"/>
      <w:marRight w:val="0"/>
      <w:marTop w:val="0"/>
      <w:marBottom w:val="0"/>
      <w:divBdr>
        <w:top w:val="none" w:sz="0" w:space="0" w:color="auto"/>
        <w:left w:val="none" w:sz="0" w:space="0" w:color="auto"/>
        <w:bottom w:val="none" w:sz="0" w:space="0" w:color="auto"/>
        <w:right w:val="none" w:sz="0" w:space="0" w:color="auto"/>
      </w:divBdr>
      <w:divsChild>
        <w:div w:id="1915629431">
          <w:marLeft w:val="0"/>
          <w:marRight w:val="0"/>
          <w:marTop w:val="0"/>
          <w:marBottom w:val="0"/>
          <w:divBdr>
            <w:top w:val="none" w:sz="0" w:space="0" w:color="auto"/>
            <w:left w:val="none" w:sz="0" w:space="0" w:color="auto"/>
            <w:bottom w:val="none" w:sz="0" w:space="0" w:color="auto"/>
            <w:right w:val="none" w:sz="0" w:space="0" w:color="auto"/>
          </w:divBdr>
        </w:div>
      </w:divsChild>
    </w:div>
    <w:div w:id="191042391">
      <w:bodyDiv w:val="1"/>
      <w:marLeft w:val="0"/>
      <w:marRight w:val="0"/>
      <w:marTop w:val="0"/>
      <w:marBottom w:val="0"/>
      <w:divBdr>
        <w:top w:val="none" w:sz="0" w:space="0" w:color="auto"/>
        <w:left w:val="none" w:sz="0" w:space="0" w:color="auto"/>
        <w:bottom w:val="none" w:sz="0" w:space="0" w:color="auto"/>
        <w:right w:val="none" w:sz="0" w:space="0" w:color="auto"/>
      </w:divBdr>
      <w:divsChild>
        <w:div w:id="1773549442">
          <w:marLeft w:val="0"/>
          <w:marRight w:val="0"/>
          <w:marTop w:val="0"/>
          <w:marBottom w:val="0"/>
          <w:divBdr>
            <w:top w:val="none" w:sz="0" w:space="0" w:color="auto"/>
            <w:left w:val="none" w:sz="0" w:space="0" w:color="auto"/>
            <w:bottom w:val="none" w:sz="0" w:space="0" w:color="auto"/>
            <w:right w:val="none" w:sz="0" w:space="0" w:color="auto"/>
          </w:divBdr>
        </w:div>
      </w:divsChild>
    </w:div>
    <w:div w:id="266696496">
      <w:bodyDiv w:val="1"/>
      <w:marLeft w:val="0"/>
      <w:marRight w:val="0"/>
      <w:marTop w:val="0"/>
      <w:marBottom w:val="0"/>
      <w:divBdr>
        <w:top w:val="none" w:sz="0" w:space="0" w:color="auto"/>
        <w:left w:val="none" w:sz="0" w:space="0" w:color="auto"/>
        <w:bottom w:val="none" w:sz="0" w:space="0" w:color="auto"/>
        <w:right w:val="none" w:sz="0" w:space="0" w:color="auto"/>
      </w:divBdr>
      <w:divsChild>
        <w:div w:id="1532498555">
          <w:marLeft w:val="0"/>
          <w:marRight w:val="0"/>
          <w:marTop w:val="0"/>
          <w:marBottom w:val="0"/>
          <w:divBdr>
            <w:top w:val="none" w:sz="0" w:space="0" w:color="auto"/>
            <w:left w:val="none" w:sz="0" w:space="0" w:color="auto"/>
            <w:bottom w:val="none" w:sz="0" w:space="0" w:color="auto"/>
            <w:right w:val="none" w:sz="0" w:space="0" w:color="auto"/>
          </w:divBdr>
        </w:div>
      </w:divsChild>
    </w:div>
    <w:div w:id="294677793">
      <w:bodyDiv w:val="1"/>
      <w:marLeft w:val="0"/>
      <w:marRight w:val="0"/>
      <w:marTop w:val="0"/>
      <w:marBottom w:val="0"/>
      <w:divBdr>
        <w:top w:val="none" w:sz="0" w:space="0" w:color="auto"/>
        <w:left w:val="none" w:sz="0" w:space="0" w:color="auto"/>
        <w:bottom w:val="none" w:sz="0" w:space="0" w:color="auto"/>
        <w:right w:val="none" w:sz="0" w:space="0" w:color="auto"/>
      </w:divBdr>
      <w:divsChild>
        <w:div w:id="735933145">
          <w:marLeft w:val="0"/>
          <w:marRight w:val="0"/>
          <w:marTop w:val="0"/>
          <w:marBottom w:val="0"/>
          <w:divBdr>
            <w:top w:val="none" w:sz="0" w:space="0" w:color="auto"/>
            <w:left w:val="none" w:sz="0" w:space="0" w:color="auto"/>
            <w:bottom w:val="none" w:sz="0" w:space="0" w:color="auto"/>
            <w:right w:val="none" w:sz="0" w:space="0" w:color="auto"/>
          </w:divBdr>
        </w:div>
      </w:divsChild>
    </w:div>
    <w:div w:id="303245583">
      <w:bodyDiv w:val="1"/>
      <w:marLeft w:val="0"/>
      <w:marRight w:val="0"/>
      <w:marTop w:val="0"/>
      <w:marBottom w:val="0"/>
      <w:divBdr>
        <w:top w:val="none" w:sz="0" w:space="0" w:color="auto"/>
        <w:left w:val="none" w:sz="0" w:space="0" w:color="auto"/>
        <w:bottom w:val="none" w:sz="0" w:space="0" w:color="auto"/>
        <w:right w:val="none" w:sz="0" w:space="0" w:color="auto"/>
      </w:divBdr>
      <w:divsChild>
        <w:div w:id="357509720">
          <w:marLeft w:val="0"/>
          <w:marRight w:val="0"/>
          <w:marTop w:val="0"/>
          <w:marBottom w:val="0"/>
          <w:divBdr>
            <w:top w:val="none" w:sz="0" w:space="0" w:color="auto"/>
            <w:left w:val="none" w:sz="0" w:space="0" w:color="auto"/>
            <w:bottom w:val="none" w:sz="0" w:space="0" w:color="auto"/>
            <w:right w:val="none" w:sz="0" w:space="0" w:color="auto"/>
          </w:divBdr>
        </w:div>
      </w:divsChild>
    </w:div>
    <w:div w:id="318116577">
      <w:bodyDiv w:val="1"/>
      <w:marLeft w:val="0"/>
      <w:marRight w:val="0"/>
      <w:marTop w:val="0"/>
      <w:marBottom w:val="0"/>
      <w:divBdr>
        <w:top w:val="none" w:sz="0" w:space="0" w:color="auto"/>
        <w:left w:val="none" w:sz="0" w:space="0" w:color="auto"/>
        <w:bottom w:val="none" w:sz="0" w:space="0" w:color="auto"/>
        <w:right w:val="none" w:sz="0" w:space="0" w:color="auto"/>
      </w:divBdr>
      <w:divsChild>
        <w:div w:id="1595480750">
          <w:marLeft w:val="0"/>
          <w:marRight w:val="0"/>
          <w:marTop w:val="0"/>
          <w:marBottom w:val="0"/>
          <w:divBdr>
            <w:top w:val="none" w:sz="0" w:space="0" w:color="auto"/>
            <w:left w:val="none" w:sz="0" w:space="0" w:color="auto"/>
            <w:bottom w:val="none" w:sz="0" w:space="0" w:color="auto"/>
            <w:right w:val="none" w:sz="0" w:space="0" w:color="auto"/>
          </w:divBdr>
        </w:div>
      </w:divsChild>
    </w:div>
    <w:div w:id="498230501">
      <w:bodyDiv w:val="1"/>
      <w:marLeft w:val="0"/>
      <w:marRight w:val="0"/>
      <w:marTop w:val="0"/>
      <w:marBottom w:val="0"/>
      <w:divBdr>
        <w:top w:val="none" w:sz="0" w:space="0" w:color="auto"/>
        <w:left w:val="none" w:sz="0" w:space="0" w:color="auto"/>
        <w:bottom w:val="none" w:sz="0" w:space="0" w:color="auto"/>
        <w:right w:val="none" w:sz="0" w:space="0" w:color="auto"/>
      </w:divBdr>
      <w:divsChild>
        <w:div w:id="1555238080">
          <w:marLeft w:val="0"/>
          <w:marRight w:val="0"/>
          <w:marTop w:val="0"/>
          <w:marBottom w:val="0"/>
          <w:divBdr>
            <w:top w:val="none" w:sz="0" w:space="0" w:color="auto"/>
            <w:left w:val="none" w:sz="0" w:space="0" w:color="auto"/>
            <w:bottom w:val="none" w:sz="0" w:space="0" w:color="auto"/>
            <w:right w:val="none" w:sz="0" w:space="0" w:color="auto"/>
          </w:divBdr>
        </w:div>
      </w:divsChild>
    </w:div>
    <w:div w:id="689571815">
      <w:bodyDiv w:val="1"/>
      <w:marLeft w:val="0"/>
      <w:marRight w:val="0"/>
      <w:marTop w:val="0"/>
      <w:marBottom w:val="0"/>
      <w:divBdr>
        <w:top w:val="none" w:sz="0" w:space="0" w:color="auto"/>
        <w:left w:val="none" w:sz="0" w:space="0" w:color="auto"/>
        <w:bottom w:val="none" w:sz="0" w:space="0" w:color="auto"/>
        <w:right w:val="none" w:sz="0" w:space="0" w:color="auto"/>
      </w:divBdr>
      <w:divsChild>
        <w:div w:id="715159268">
          <w:marLeft w:val="0"/>
          <w:marRight w:val="0"/>
          <w:marTop w:val="0"/>
          <w:marBottom w:val="0"/>
          <w:divBdr>
            <w:top w:val="none" w:sz="0" w:space="0" w:color="auto"/>
            <w:left w:val="none" w:sz="0" w:space="0" w:color="auto"/>
            <w:bottom w:val="none" w:sz="0" w:space="0" w:color="auto"/>
            <w:right w:val="none" w:sz="0" w:space="0" w:color="auto"/>
          </w:divBdr>
        </w:div>
      </w:divsChild>
    </w:div>
    <w:div w:id="697436659">
      <w:bodyDiv w:val="1"/>
      <w:marLeft w:val="0"/>
      <w:marRight w:val="0"/>
      <w:marTop w:val="0"/>
      <w:marBottom w:val="0"/>
      <w:divBdr>
        <w:top w:val="none" w:sz="0" w:space="0" w:color="auto"/>
        <w:left w:val="none" w:sz="0" w:space="0" w:color="auto"/>
        <w:bottom w:val="none" w:sz="0" w:space="0" w:color="auto"/>
        <w:right w:val="none" w:sz="0" w:space="0" w:color="auto"/>
      </w:divBdr>
      <w:divsChild>
        <w:div w:id="2131389899">
          <w:marLeft w:val="0"/>
          <w:marRight w:val="0"/>
          <w:marTop w:val="0"/>
          <w:marBottom w:val="0"/>
          <w:divBdr>
            <w:top w:val="none" w:sz="0" w:space="0" w:color="auto"/>
            <w:left w:val="none" w:sz="0" w:space="0" w:color="auto"/>
            <w:bottom w:val="none" w:sz="0" w:space="0" w:color="auto"/>
            <w:right w:val="none" w:sz="0" w:space="0" w:color="auto"/>
          </w:divBdr>
        </w:div>
      </w:divsChild>
    </w:div>
    <w:div w:id="717438418">
      <w:bodyDiv w:val="1"/>
      <w:marLeft w:val="0"/>
      <w:marRight w:val="0"/>
      <w:marTop w:val="0"/>
      <w:marBottom w:val="0"/>
      <w:divBdr>
        <w:top w:val="none" w:sz="0" w:space="0" w:color="auto"/>
        <w:left w:val="none" w:sz="0" w:space="0" w:color="auto"/>
        <w:bottom w:val="none" w:sz="0" w:space="0" w:color="auto"/>
        <w:right w:val="none" w:sz="0" w:space="0" w:color="auto"/>
      </w:divBdr>
      <w:divsChild>
        <w:div w:id="803306409">
          <w:marLeft w:val="0"/>
          <w:marRight w:val="0"/>
          <w:marTop w:val="0"/>
          <w:marBottom w:val="0"/>
          <w:divBdr>
            <w:top w:val="none" w:sz="0" w:space="0" w:color="auto"/>
            <w:left w:val="none" w:sz="0" w:space="0" w:color="auto"/>
            <w:bottom w:val="none" w:sz="0" w:space="0" w:color="auto"/>
            <w:right w:val="none" w:sz="0" w:space="0" w:color="auto"/>
          </w:divBdr>
        </w:div>
      </w:divsChild>
    </w:div>
    <w:div w:id="792595113">
      <w:bodyDiv w:val="1"/>
      <w:marLeft w:val="0"/>
      <w:marRight w:val="0"/>
      <w:marTop w:val="0"/>
      <w:marBottom w:val="0"/>
      <w:divBdr>
        <w:top w:val="none" w:sz="0" w:space="0" w:color="auto"/>
        <w:left w:val="none" w:sz="0" w:space="0" w:color="auto"/>
        <w:bottom w:val="none" w:sz="0" w:space="0" w:color="auto"/>
        <w:right w:val="none" w:sz="0" w:space="0" w:color="auto"/>
      </w:divBdr>
      <w:divsChild>
        <w:div w:id="1215772287">
          <w:marLeft w:val="0"/>
          <w:marRight w:val="0"/>
          <w:marTop w:val="0"/>
          <w:marBottom w:val="0"/>
          <w:divBdr>
            <w:top w:val="none" w:sz="0" w:space="0" w:color="auto"/>
            <w:left w:val="none" w:sz="0" w:space="0" w:color="auto"/>
            <w:bottom w:val="none" w:sz="0" w:space="0" w:color="auto"/>
            <w:right w:val="none" w:sz="0" w:space="0" w:color="auto"/>
          </w:divBdr>
        </w:div>
      </w:divsChild>
    </w:div>
    <w:div w:id="886839154">
      <w:bodyDiv w:val="1"/>
      <w:marLeft w:val="0"/>
      <w:marRight w:val="0"/>
      <w:marTop w:val="0"/>
      <w:marBottom w:val="0"/>
      <w:divBdr>
        <w:top w:val="none" w:sz="0" w:space="0" w:color="auto"/>
        <w:left w:val="none" w:sz="0" w:space="0" w:color="auto"/>
        <w:bottom w:val="none" w:sz="0" w:space="0" w:color="auto"/>
        <w:right w:val="none" w:sz="0" w:space="0" w:color="auto"/>
      </w:divBdr>
      <w:divsChild>
        <w:div w:id="767891929">
          <w:marLeft w:val="0"/>
          <w:marRight w:val="0"/>
          <w:marTop w:val="0"/>
          <w:marBottom w:val="0"/>
          <w:divBdr>
            <w:top w:val="none" w:sz="0" w:space="0" w:color="auto"/>
            <w:left w:val="none" w:sz="0" w:space="0" w:color="auto"/>
            <w:bottom w:val="none" w:sz="0" w:space="0" w:color="auto"/>
            <w:right w:val="none" w:sz="0" w:space="0" w:color="auto"/>
          </w:divBdr>
        </w:div>
      </w:divsChild>
    </w:div>
    <w:div w:id="891623763">
      <w:bodyDiv w:val="1"/>
      <w:marLeft w:val="0"/>
      <w:marRight w:val="0"/>
      <w:marTop w:val="0"/>
      <w:marBottom w:val="0"/>
      <w:divBdr>
        <w:top w:val="none" w:sz="0" w:space="0" w:color="auto"/>
        <w:left w:val="none" w:sz="0" w:space="0" w:color="auto"/>
        <w:bottom w:val="none" w:sz="0" w:space="0" w:color="auto"/>
        <w:right w:val="none" w:sz="0" w:space="0" w:color="auto"/>
      </w:divBdr>
      <w:divsChild>
        <w:div w:id="904266090">
          <w:marLeft w:val="0"/>
          <w:marRight w:val="0"/>
          <w:marTop w:val="0"/>
          <w:marBottom w:val="0"/>
          <w:divBdr>
            <w:top w:val="none" w:sz="0" w:space="0" w:color="auto"/>
            <w:left w:val="none" w:sz="0" w:space="0" w:color="auto"/>
            <w:bottom w:val="none" w:sz="0" w:space="0" w:color="auto"/>
            <w:right w:val="none" w:sz="0" w:space="0" w:color="auto"/>
          </w:divBdr>
        </w:div>
      </w:divsChild>
    </w:div>
    <w:div w:id="954866413">
      <w:bodyDiv w:val="1"/>
      <w:marLeft w:val="0"/>
      <w:marRight w:val="0"/>
      <w:marTop w:val="0"/>
      <w:marBottom w:val="0"/>
      <w:divBdr>
        <w:top w:val="none" w:sz="0" w:space="0" w:color="auto"/>
        <w:left w:val="none" w:sz="0" w:space="0" w:color="auto"/>
        <w:bottom w:val="none" w:sz="0" w:space="0" w:color="auto"/>
        <w:right w:val="none" w:sz="0" w:space="0" w:color="auto"/>
      </w:divBdr>
      <w:divsChild>
        <w:div w:id="270550022">
          <w:marLeft w:val="0"/>
          <w:marRight w:val="0"/>
          <w:marTop w:val="0"/>
          <w:marBottom w:val="0"/>
          <w:divBdr>
            <w:top w:val="none" w:sz="0" w:space="0" w:color="auto"/>
            <w:left w:val="none" w:sz="0" w:space="0" w:color="auto"/>
            <w:bottom w:val="none" w:sz="0" w:space="0" w:color="auto"/>
            <w:right w:val="none" w:sz="0" w:space="0" w:color="auto"/>
          </w:divBdr>
        </w:div>
      </w:divsChild>
    </w:div>
    <w:div w:id="1128662735">
      <w:bodyDiv w:val="1"/>
      <w:marLeft w:val="0"/>
      <w:marRight w:val="0"/>
      <w:marTop w:val="0"/>
      <w:marBottom w:val="0"/>
      <w:divBdr>
        <w:top w:val="none" w:sz="0" w:space="0" w:color="auto"/>
        <w:left w:val="none" w:sz="0" w:space="0" w:color="auto"/>
        <w:bottom w:val="none" w:sz="0" w:space="0" w:color="auto"/>
        <w:right w:val="none" w:sz="0" w:space="0" w:color="auto"/>
      </w:divBdr>
      <w:divsChild>
        <w:div w:id="1875342526">
          <w:marLeft w:val="0"/>
          <w:marRight w:val="0"/>
          <w:marTop w:val="0"/>
          <w:marBottom w:val="0"/>
          <w:divBdr>
            <w:top w:val="none" w:sz="0" w:space="0" w:color="auto"/>
            <w:left w:val="none" w:sz="0" w:space="0" w:color="auto"/>
            <w:bottom w:val="none" w:sz="0" w:space="0" w:color="auto"/>
            <w:right w:val="none" w:sz="0" w:space="0" w:color="auto"/>
          </w:divBdr>
        </w:div>
      </w:divsChild>
    </w:div>
    <w:div w:id="1134297851">
      <w:bodyDiv w:val="1"/>
      <w:marLeft w:val="0"/>
      <w:marRight w:val="0"/>
      <w:marTop w:val="0"/>
      <w:marBottom w:val="0"/>
      <w:divBdr>
        <w:top w:val="none" w:sz="0" w:space="0" w:color="auto"/>
        <w:left w:val="none" w:sz="0" w:space="0" w:color="auto"/>
        <w:bottom w:val="none" w:sz="0" w:space="0" w:color="auto"/>
        <w:right w:val="none" w:sz="0" w:space="0" w:color="auto"/>
      </w:divBdr>
      <w:divsChild>
        <w:div w:id="1054815307">
          <w:marLeft w:val="0"/>
          <w:marRight w:val="0"/>
          <w:marTop w:val="0"/>
          <w:marBottom w:val="0"/>
          <w:divBdr>
            <w:top w:val="none" w:sz="0" w:space="0" w:color="auto"/>
            <w:left w:val="none" w:sz="0" w:space="0" w:color="auto"/>
            <w:bottom w:val="none" w:sz="0" w:space="0" w:color="auto"/>
            <w:right w:val="none" w:sz="0" w:space="0" w:color="auto"/>
          </w:divBdr>
        </w:div>
      </w:divsChild>
    </w:div>
    <w:div w:id="1175026216">
      <w:bodyDiv w:val="1"/>
      <w:marLeft w:val="0"/>
      <w:marRight w:val="0"/>
      <w:marTop w:val="0"/>
      <w:marBottom w:val="0"/>
      <w:divBdr>
        <w:top w:val="none" w:sz="0" w:space="0" w:color="auto"/>
        <w:left w:val="none" w:sz="0" w:space="0" w:color="auto"/>
        <w:bottom w:val="none" w:sz="0" w:space="0" w:color="auto"/>
        <w:right w:val="none" w:sz="0" w:space="0" w:color="auto"/>
      </w:divBdr>
      <w:divsChild>
        <w:div w:id="705983097">
          <w:marLeft w:val="0"/>
          <w:marRight w:val="0"/>
          <w:marTop w:val="0"/>
          <w:marBottom w:val="0"/>
          <w:divBdr>
            <w:top w:val="none" w:sz="0" w:space="0" w:color="auto"/>
            <w:left w:val="none" w:sz="0" w:space="0" w:color="auto"/>
            <w:bottom w:val="none" w:sz="0" w:space="0" w:color="auto"/>
            <w:right w:val="none" w:sz="0" w:space="0" w:color="auto"/>
          </w:divBdr>
        </w:div>
      </w:divsChild>
    </w:div>
    <w:div w:id="1192107930">
      <w:bodyDiv w:val="1"/>
      <w:marLeft w:val="0"/>
      <w:marRight w:val="0"/>
      <w:marTop w:val="0"/>
      <w:marBottom w:val="0"/>
      <w:divBdr>
        <w:top w:val="none" w:sz="0" w:space="0" w:color="auto"/>
        <w:left w:val="none" w:sz="0" w:space="0" w:color="auto"/>
        <w:bottom w:val="none" w:sz="0" w:space="0" w:color="auto"/>
        <w:right w:val="none" w:sz="0" w:space="0" w:color="auto"/>
      </w:divBdr>
      <w:divsChild>
        <w:div w:id="391662099">
          <w:marLeft w:val="0"/>
          <w:marRight w:val="0"/>
          <w:marTop w:val="0"/>
          <w:marBottom w:val="0"/>
          <w:divBdr>
            <w:top w:val="none" w:sz="0" w:space="0" w:color="auto"/>
            <w:left w:val="none" w:sz="0" w:space="0" w:color="auto"/>
            <w:bottom w:val="none" w:sz="0" w:space="0" w:color="auto"/>
            <w:right w:val="none" w:sz="0" w:space="0" w:color="auto"/>
          </w:divBdr>
        </w:div>
      </w:divsChild>
    </w:div>
    <w:div w:id="1282297978">
      <w:bodyDiv w:val="1"/>
      <w:marLeft w:val="0"/>
      <w:marRight w:val="0"/>
      <w:marTop w:val="0"/>
      <w:marBottom w:val="0"/>
      <w:divBdr>
        <w:top w:val="none" w:sz="0" w:space="0" w:color="auto"/>
        <w:left w:val="none" w:sz="0" w:space="0" w:color="auto"/>
        <w:bottom w:val="none" w:sz="0" w:space="0" w:color="auto"/>
        <w:right w:val="none" w:sz="0" w:space="0" w:color="auto"/>
      </w:divBdr>
      <w:divsChild>
        <w:div w:id="310209529">
          <w:marLeft w:val="0"/>
          <w:marRight w:val="0"/>
          <w:marTop w:val="0"/>
          <w:marBottom w:val="0"/>
          <w:divBdr>
            <w:top w:val="none" w:sz="0" w:space="0" w:color="auto"/>
            <w:left w:val="none" w:sz="0" w:space="0" w:color="auto"/>
            <w:bottom w:val="none" w:sz="0" w:space="0" w:color="auto"/>
            <w:right w:val="none" w:sz="0" w:space="0" w:color="auto"/>
          </w:divBdr>
        </w:div>
      </w:divsChild>
    </w:div>
    <w:div w:id="1329476251">
      <w:bodyDiv w:val="1"/>
      <w:marLeft w:val="0"/>
      <w:marRight w:val="0"/>
      <w:marTop w:val="0"/>
      <w:marBottom w:val="0"/>
      <w:divBdr>
        <w:top w:val="none" w:sz="0" w:space="0" w:color="auto"/>
        <w:left w:val="none" w:sz="0" w:space="0" w:color="auto"/>
        <w:bottom w:val="none" w:sz="0" w:space="0" w:color="auto"/>
        <w:right w:val="none" w:sz="0" w:space="0" w:color="auto"/>
      </w:divBdr>
      <w:divsChild>
        <w:div w:id="393358278">
          <w:marLeft w:val="0"/>
          <w:marRight w:val="0"/>
          <w:marTop w:val="0"/>
          <w:marBottom w:val="0"/>
          <w:divBdr>
            <w:top w:val="none" w:sz="0" w:space="0" w:color="auto"/>
            <w:left w:val="none" w:sz="0" w:space="0" w:color="auto"/>
            <w:bottom w:val="none" w:sz="0" w:space="0" w:color="auto"/>
            <w:right w:val="none" w:sz="0" w:space="0" w:color="auto"/>
          </w:divBdr>
        </w:div>
      </w:divsChild>
    </w:div>
    <w:div w:id="1388526199">
      <w:bodyDiv w:val="1"/>
      <w:marLeft w:val="0"/>
      <w:marRight w:val="0"/>
      <w:marTop w:val="0"/>
      <w:marBottom w:val="0"/>
      <w:divBdr>
        <w:top w:val="none" w:sz="0" w:space="0" w:color="auto"/>
        <w:left w:val="none" w:sz="0" w:space="0" w:color="auto"/>
        <w:bottom w:val="none" w:sz="0" w:space="0" w:color="auto"/>
        <w:right w:val="none" w:sz="0" w:space="0" w:color="auto"/>
      </w:divBdr>
      <w:divsChild>
        <w:div w:id="477966144">
          <w:marLeft w:val="0"/>
          <w:marRight w:val="0"/>
          <w:marTop w:val="0"/>
          <w:marBottom w:val="0"/>
          <w:divBdr>
            <w:top w:val="none" w:sz="0" w:space="0" w:color="auto"/>
            <w:left w:val="none" w:sz="0" w:space="0" w:color="auto"/>
            <w:bottom w:val="none" w:sz="0" w:space="0" w:color="auto"/>
            <w:right w:val="none" w:sz="0" w:space="0" w:color="auto"/>
          </w:divBdr>
        </w:div>
      </w:divsChild>
    </w:div>
    <w:div w:id="1442457603">
      <w:bodyDiv w:val="1"/>
      <w:marLeft w:val="0"/>
      <w:marRight w:val="0"/>
      <w:marTop w:val="0"/>
      <w:marBottom w:val="0"/>
      <w:divBdr>
        <w:top w:val="none" w:sz="0" w:space="0" w:color="auto"/>
        <w:left w:val="none" w:sz="0" w:space="0" w:color="auto"/>
        <w:bottom w:val="none" w:sz="0" w:space="0" w:color="auto"/>
        <w:right w:val="none" w:sz="0" w:space="0" w:color="auto"/>
      </w:divBdr>
      <w:divsChild>
        <w:div w:id="2134401580">
          <w:marLeft w:val="0"/>
          <w:marRight w:val="0"/>
          <w:marTop w:val="0"/>
          <w:marBottom w:val="0"/>
          <w:divBdr>
            <w:top w:val="none" w:sz="0" w:space="0" w:color="auto"/>
            <w:left w:val="none" w:sz="0" w:space="0" w:color="auto"/>
            <w:bottom w:val="none" w:sz="0" w:space="0" w:color="auto"/>
            <w:right w:val="none" w:sz="0" w:space="0" w:color="auto"/>
          </w:divBdr>
        </w:div>
      </w:divsChild>
    </w:div>
    <w:div w:id="1456942065">
      <w:bodyDiv w:val="1"/>
      <w:marLeft w:val="0"/>
      <w:marRight w:val="0"/>
      <w:marTop w:val="0"/>
      <w:marBottom w:val="0"/>
      <w:divBdr>
        <w:top w:val="none" w:sz="0" w:space="0" w:color="auto"/>
        <w:left w:val="none" w:sz="0" w:space="0" w:color="auto"/>
        <w:bottom w:val="none" w:sz="0" w:space="0" w:color="auto"/>
        <w:right w:val="none" w:sz="0" w:space="0" w:color="auto"/>
      </w:divBdr>
      <w:divsChild>
        <w:div w:id="107358023">
          <w:marLeft w:val="0"/>
          <w:marRight w:val="0"/>
          <w:marTop w:val="0"/>
          <w:marBottom w:val="0"/>
          <w:divBdr>
            <w:top w:val="none" w:sz="0" w:space="0" w:color="auto"/>
            <w:left w:val="none" w:sz="0" w:space="0" w:color="auto"/>
            <w:bottom w:val="none" w:sz="0" w:space="0" w:color="auto"/>
            <w:right w:val="none" w:sz="0" w:space="0" w:color="auto"/>
          </w:divBdr>
        </w:div>
      </w:divsChild>
    </w:div>
    <w:div w:id="1470703248">
      <w:bodyDiv w:val="1"/>
      <w:marLeft w:val="0"/>
      <w:marRight w:val="0"/>
      <w:marTop w:val="0"/>
      <w:marBottom w:val="0"/>
      <w:divBdr>
        <w:top w:val="none" w:sz="0" w:space="0" w:color="auto"/>
        <w:left w:val="none" w:sz="0" w:space="0" w:color="auto"/>
        <w:bottom w:val="none" w:sz="0" w:space="0" w:color="auto"/>
        <w:right w:val="none" w:sz="0" w:space="0" w:color="auto"/>
      </w:divBdr>
      <w:divsChild>
        <w:div w:id="1510484086">
          <w:marLeft w:val="0"/>
          <w:marRight w:val="0"/>
          <w:marTop w:val="0"/>
          <w:marBottom w:val="0"/>
          <w:divBdr>
            <w:top w:val="none" w:sz="0" w:space="0" w:color="auto"/>
            <w:left w:val="none" w:sz="0" w:space="0" w:color="auto"/>
            <w:bottom w:val="none" w:sz="0" w:space="0" w:color="auto"/>
            <w:right w:val="none" w:sz="0" w:space="0" w:color="auto"/>
          </w:divBdr>
        </w:div>
      </w:divsChild>
    </w:div>
    <w:div w:id="1568418346">
      <w:bodyDiv w:val="1"/>
      <w:marLeft w:val="0"/>
      <w:marRight w:val="0"/>
      <w:marTop w:val="0"/>
      <w:marBottom w:val="0"/>
      <w:divBdr>
        <w:top w:val="none" w:sz="0" w:space="0" w:color="auto"/>
        <w:left w:val="none" w:sz="0" w:space="0" w:color="auto"/>
        <w:bottom w:val="none" w:sz="0" w:space="0" w:color="auto"/>
        <w:right w:val="none" w:sz="0" w:space="0" w:color="auto"/>
      </w:divBdr>
      <w:divsChild>
        <w:div w:id="682323111">
          <w:marLeft w:val="0"/>
          <w:marRight w:val="0"/>
          <w:marTop w:val="0"/>
          <w:marBottom w:val="0"/>
          <w:divBdr>
            <w:top w:val="none" w:sz="0" w:space="0" w:color="auto"/>
            <w:left w:val="none" w:sz="0" w:space="0" w:color="auto"/>
            <w:bottom w:val="none" w:sz="0" w:space="0" w:color="auto"/>
            <w:right w:val="none" w:sz="0" w:space="0" w:color="auto"/>
          </w:divBdr>
        </w:div>
      </w:divsChild>
    </w:div>
    <w:div w:id="1616398396">
      <w:bodyDiv w:val="1"/>
      <w:marLeft w:val="0"/>
      <w:marRight w:val="0"/>
      <w:marTop w:val="0"/>
      <w:marBottom w:val="0"/>
      <w:divBdr>
        <w:top w:val="none" w:sz="0" w:space="0" w:color="auto"/>
        <w:left w:val="none" w:sz="0" w:space="0" w:color="auto"/>
        <w:bottom w:val="none" w:sz="0" w:space="0" w:color="auto"/>
        <w:right w:val="none" w:sz="0" w:space="0" w:color="auto"/>
      </w:divBdr>
      <w:divsChild>
        <w:div w:id="727727004">
          <w:marLeft w:val="0"/>
          <w:marRight w:val="0"/>
          <w:marTop w:val="0"/>
          <w:marBottom w:val="0"/>
          <w:divBdr>
            <w:top w:val="none" w:sz="0" w:space="0" w:color="auto"/>
            <w:left w:val="none" w:sz="0" w:space="0" w:color="auto"/>
            <w:bottom w:val="none" w:sz="0" w:space="0" w:color="auto"/>
            <w:right w:val="none" w:sz="0" w:space="0" w:color="auto"/>
          </w:divBdr>
        </w:div>
      </w:divsChild>
    </w:div>
    <w:div w:id="1622954117">
      <w:bodyDiv w:val="1"/>
      <w:marLeft w:val="0"/>
      <w:marRight w:val="0"/>
      <w:marTop w:val="0"/>
      <w:marBottom w:val="0"/>
      <w:divBdr>
        <w:top w:val="none" w:sz="0" w:space="0" w:color="auto"/>
        <w:left w:val="none" w:sz="0" w:space="0" w:color="auto"/>
        <w:bottom w:val="none" w:sz="0" w:space="0" w:color="auto"/>
        <w:right w:val="none" w:sz="0" w:space="0" w:color="auto"/>
      </w:divBdr>
      <w:divsChild>
        <w:div w:id="345137555">
          <w:marLeft w:val="0"/>
          <w:marRight w:val="0"/>
          <w:marTop w:val="0"/>
          <w:marBottom w:val="0"/>
          <w:divBdr>
            <w:top w:val="none" w:sz="0" w:space="0" w:color="auto"/>
            <w:left w:val="none" w:sz="0" w:space="0" w:color="auto"/>
            <w:bottom w:val="none" w:sz="0" w:space="0" w:color="auto"/>
            <w:right w:val="none" w:sz="0" w:space="0" w:color="auto"/>
          </w:divBdr>
        </w:div>
      </w:divsChild>
    </w:div>
    <w:div w:id="1635527389">
      <w:bodyDiv w:val="1"/>
      <w:marLeft w:val="0"/>
      <w:marRight w:val="0"/>
      <w:marTop w:val="0"/>
      <w:marBottom w:val="0"/>
      <w:divBdr>
        <w:top w:val="none" w:sz="0" w:space="0" w:color="auto"/>
        <w:left w:val="none" w:sz="0" w:space="0" w:color="auto"/>
        <w:bottom w:val="none" w:sz="0" w:space="0" w:color="auto"/>
        <w:right w:val="none" w:sz="0" w:space="0" w:color="auto"/>
      </w:divBdr>
      <w:divsChild>
        <w:div w:id="2027709603">
          <w:marLeft w:val="0"/>
          <w:marRight w:val="0"/>
          <w:marTop w:val="0"/>
          <w:marBottom w:val="0"/>
          <w:divBdr>
            <w:top w:val="none" w:sz="0" w:space="0" w:color="auto"/>
            <w:left w:val="none" w:sz="0" w:space="0" w:color="auto"/>
            <w:bottom w:val="none" w:sz="0" w:space="0" w:color="auto"/>
            <w:right w:val="none" w:sz="0" w:space="0" w:color="auto"/>
          </w:divBdr>
        </w:div>
      </w:divsChild>
    </w:div>
    <w:div w:id="1654917791">
      <w:bodyDiv w:val="1"/>
      <w:marLeft w:val="0"/>
      <w:marRight w:val="0"/>
      <w:marTop w:val="0"/>
      <w:marBottom w:val="0"/>
      <w:divBdr>
        <w:top w:val="none" w:sz="0" w:space="0" w:color="auto"/>
        <w:left w:val="none" w:sz="0" w:space="0" w:color="auto"/>
        <w:bottom w:val="none" w:sz="0" w:space="0" w:color="auto"/>
        <w:right w:val="none" w:sz="0" w:space="0" w:color="auto"/>
      </w:divBdr>
      <w:divsChild>
        <w:div w:id="1623926679">
          <w:marLeft w:val="0"/>
          <w:marRight w:val="0"/>
          <w:marTop w:val="0"/>
          <w:marBottom w:val="0"/>
          <w:divBdr>
            <w:top w:val="none" w:sz="0" w:space="0" w:color="auto"/>
            <w:left w:val="none" w:sz="0" w:space="0" w:color="auto"/>
            <w:bottom w:val="none" w:sz="0" w:space="0" w:color="auto"/>
            <w:right w:val="none" w:sz="0" w:space="0" w:color="auto"/>
          </w:divBdr>
        </w:div>
      </w:divsChild>
    </w:div>
    <w:div w:id="1658529526">
      <w:bodyDiv w:val="1"/>
      <w:marLeft w:val="0"/>
      <w:marRight w:val="0"/>
      <w:marTop w:val="0"/>
      <w:marBottom w:val="0"/>
      <w:divBdr>
        <w:top w:val="none" w:sz="0" w:space="0" w:color="auto"/>
        <w:left w:val="none" w:sz="0" w:space="0" w:color="auto"/>
        <w:bottom w:val="none" w:sz="0" w:space="0" w:color="auto"/>
        <w:right w:val="none" w:sz="0" w:space="0" w:color="auto"/>
      </w:divBdr>
      <w:divsChild>
        <w:div w:id="1479541873">
          <w:marLeft w:val="0"/>
          <w:marRight w:val="0"/>
          <w:marTop w:val="0"/>
          <w:marBottom w:val="0"/>
          <w:divBdr>
            <w:top w:val="none" w:sz="0" w:space="0" w:color="auto"/>
            <w:left w:val="none" w:sz="0" w:space="0" w:color="auto"/>
            <w:bottom w:val="none" w:sz="0" w:space="0" w:color="auto"/>
            <w:right w:val="none" w:sz="0" w:space="0" w:color="auto"/>
          </w:divBdr>
        </w:div>
      </w:divsChild>
    </w:div>
    <w:div w:id="1662733626">
      <w:bodyDiv w:val="1"/>
      <w:marLeft w:val="0"/>
      <w:marRight w:val="0"/>
      <w:marTop w:val="0"/>
      <w:marBottom w:val="0"/>
      <w:divBdr>
        <w:top w:val="none" w:sz="0" w:space="0" w:color="auto"/>
        <w:left w:val="none" w:sz="0" w:space="0" w:color="auto"/>
        <w:bottom w:val="none" w:sz="0" w:space="0" w:color="auto"/>
        <w:right w:val="none" w:sz="0" w:space="0" w:color="auto"/>
      </w:divBdr>
      <w:divsChild>
        <w:div w:id="494877592">
          <w:marLeft w:val="0"/>
          <w:marRight w:val="0"/>
          <w:marTop w:val="0"/>
          <w:marBottom w:val="0"/>
          <w:divBdr>
            <w:top w:val="none" w:sz="0" w:space="0" w:color="auto"/>
            <w:left w:val="none" w:sz="0" w:space="0" w:color="auto"/>
            <w:bottom w:val="none" w:sz="0" w:space="0" w:color="auto"/>
            <w:right w:val="none" w:sz="0" w:space="0" w:color="auto"/>
          </w:divBdr>
        </w:div>
      </w:divsChild>
    </w:div>
    <w:div w:id="1667896182">
      <w:bodyDiv w:val="1"/>
      <w:marLeft w:val="0"/>
      <w:marRight w:val="0"/>
      <w:marTop w:val="0"/>
      <w:marBottom w:val="0"/>
      <w:divBdr>
        <w:top w:val="none" w:sz="0" w:space="0" w:color="auto"/>
        <w:left w:val="none" w:sz="0" w:space="0" w:color="auto"/>
        <w:bottom w:val="none" w:sz="0" w:space="0" w:color="auto"/>
        <w:right w:val="none" w:sz="0" w:space="0" w:color="auto"/>
      </w:divBdr>
      <w:divsChild>
        <w:div w:id="813528922">
          <w:marLeft w:val="0"/>
          <w:marRight w:val="0"/>
          <w:marTop w:val="0"/>
          <w:marBottom w:val="0"/>
          <w:divBdr>
            <w:top w:val="none" w:sz="0" w:space="0" w:color="auto"/>
            <w:left w:val="none" w:sz="0" w:space="0" w:color="auto"/>
            <w:bottom w:val="none" w:sz="0" w:space="0" w:color="auto"/>
            <w:right w:val="none" w:sz="0" w:space="0" w:color="auto"/>
          </w:divBdr>
        </w:div>
      </w:divsChild>
    </w:div>
    <w:div w:id="1667975152">
      <w:bodyDiv w:val="1"/>
      <w:marLeft w:val="0"/>
      <w:marRight w:val="0"/>
      <w:marTop w:val="0"/>
      <w:marBottom w:val="0"/>
      <w:divBdr>
        <w:top w:val="none" w:sz="0" w:space="0" w:color="auto"/>
        <w:left w:val="none" w:sz="0" w:space="0" w:color="auto"/>
        <w:bottom w:val="none" w:sz="0" w:space="0" w:color="auto"/>
        <w:right w:val="none" w:sz="0" w:space="0" w:color="auto"/>
      </w:divBdr>
      <w:divsChild>
        <w:div w:id="1913616665">
          <w:marLeft w:val="0"/>
          <w:marRight w:val="0"/>
          <w:marTop w:val="0"/>
          <w:marBottom w:val="0"/>
          <w:divBdr>
            <w:top w:val="none" w:sz="0" w:space="0" w:color="auto"/>
            <w:left w:val="none" w:sz="0" w:space="0" w:color="auto"/>
            <w:bottom w:val="none" w:sz="0" w:space="0" w:color="auto"/>
            <w:right w:val="none" w:sz="0" w:space="0" w:color="auto"/>
          </w:divBdr>
        </w:div>
      </w:divsChild>
    </w:div>
    <w:div w:id="1756169479">
      <w:bodyDiv w:val="1"/>
      <w:marLeft w:val="0"/>
      <w:marRight w:val="0"/>
      <w:marTop w:val="0"/>
      <w:marBottom w:val="0"/>
      <w:divBdr>
        <w:top w:val="none" w:sz="0" w:space="0" w:color="auto"/>
        <w:left w:val="none" w:sz="0" w:space="0" w:color="auto"/>
        <w:bottom w:val="none" w:sz="0" w:space="0" w:color="auto"/>
        <w:right w:val="none" w:sz="0" w:space="0" w:color="auto"/>
      </w:divBdr>
      <w:divsChild>
        <w:div w:id="857281256">
          <w:marLeft w:val="0"/>
          <w:marRight w:val="0"/>
          <w:marTop w:val="0"/>
          <w:marBottom w:val="0"/>
          <w:divBdr>
            <w:top w:val="none" w:sz="0" w:space="0" w:color="auto"/>
            <w:left w:val="none" w:sz="0" w:space="0" w:color="auto"/>
            <w:bottom w:val="none" w:sz="0" w:space="0" w:color="auto"/>
            <w:right w:val="none" w:sz="0" w:space="0" w:color="auto"/>
          </w:divBdr>
        </w:div>
      </w:divsChild>
    </w:div>
    <w:div w:id="1789616436">
      <w:bodyDiv w:val="1"/>
      <w:marLeft w:val="0"/>
      <w:marRight w:val="0"/>
      <w:marTop w:val="0"/>
      <w:marBottom w:val="0"/>
      <w:divBdr>
        <w:top w:val="none" w:sz="0" w:space="0" w:color="auto"/>
        <w:left w:val="none" w:sz="0" w:space="0" w:color="auto"/>
        <w:bottom w:val="none" w:sz="0" w:space="0" w:color="auto"/>
        <w:right w:val="none" w:sz="0" w:space="0" w:color="auto"/>
      </w:divBdr>
      <w:divsChild>
        <w:div w:id="21170456">
          <w:marLeft w:val="0"/>
          <w:marRight w:val="0"/>
          <w:marTop w:val="0"/>
          <w:marBottom w:val="0"/>
          <w:divBdr>
            <w:top w:val="none" w:sz="0" w:space="0" w:color="auto"/>
            <w:left w:val="none" w:sz="0" w:space="0" w:color="auto"/>
            <w:bottom w:val="none" w:sz="0" w:space="0" w:color="auto"/>
            <w:right w:val="none" w:sz="0" w:space="0" w:color="auto"/>
          </w:divBdr>
        </w:div>
      </w:divsChild>
    </w:div>
    <w:div w:id="1902129734">
      <w:bodyDiv w:val="1"/>
      <w:marLeft w:val="0"/>
      <w:marRight w:val="0"/>
      <w:marTop w:val="0"/>
      <w:marBottom w:val="0"/>
      <w:divBdr>
        <w:top w:val="none" w:sz="0" w:space="0" w:color="auto"/>
        <w:left w:val="none" w:sz="0" w:space="0" w:color="auto"/>
        <w:bottom w:val="none" w:sz="0" w:space="0" w:color="auto"/>
        <w:right w:val="none" w:sz="0" w:space="0" w:color="auto"/>
      </w:divBdr>
      <w:divsChild>
        <w:div w:id="273100419">
          <w:marLeft w:val="0"/>
          <w:marRight w:val="0"/>
          <w:marTop w:val="0"/>
          <w:marBottom w:val="0"/>
          <w:divBdr>
            <w:top w:val="none" w:sz="0" w:space="0" w:color="auto"/>
            <w:left w:val="none" w:sz="0" w:space="0" w:color="auto"/>
            <w:bottom w:val="none" w:sz="0" w:space="0" w:color="auto"/>
            <w:right w:val="none" w:sz="0" w:space="0" w:color="auto"/>
          </w:divBdr>
        </w:div>
      </w:divsChild>
    </w:div>
    <w:div w:id="1919438115">
      <w:bodyDiv w:val="1"/>
      <w:marLeft w:val="0"/>
      <w:marRight w:val="0"/>
      <w:marTop w:val="0"/>
      <w:marBottom w:val="0"/>
      <w:divBdr>
        <w:top w:val="none" w:sz="0" w:space="0" w:color="auto"/>
        <w:left w:val="none" w:sz="0" w:space="0" w:color="auto"/>
        <w:bottom w:val="none" w:sz="0" w:space="0" w:color="auto"/>
        <w:right w:val="none" w:sz="0" w:space="0" w:color="auto"/>
      </w:divBdr>
      <w:divsChild>
        <w:div w:id="122581250">
          <w:marLeft w:val="0"/>
          <w:marRight w:val="0"/>
          <w:marTop w:val="0"/>
          <w:marBottom w:val="0"/>
          <w:divBdr>
            <w:top w:val="none" w:sz="0" w:space="0" w:color="auto"/>
            <w:left w:val="none" w:sz="0" w:space="0" w:color="auto"/>
            <w:bottom w:val="none" w:sz="0" w:space="0" w:color="auto"/>
            <w:right w:val="none" w:sz="0" w:space="0" w:color="auto"/>
          </w:divBdr>
        </w:div>
      </w:divsChild>
    </w:div>
    <w:div w:id="1925066684">
      <w:bodyDiv w:val="1"/>
      <w:marLeft w:val="0"/>
      <w:marRight w:val="0"/>
      <w:marTop w:val="0"/>
      <w:marBottom w:val="0"/>
      <w:divBdr>
        <w:top w:val="none" w:sz="0" w:space="0" w:color="auto"/>
        <w:left w:val="none" w:sz="0" w:space="0" w:color="auto"/>
        <w:bottom w:val="none" w:sz="0" w:space="0" w:color="auto"/>
        <w:right w:val="none" w:sz="0" w:space="0" w:color="auto"/>
      </w:divBdr>
      <w:divsChild>
        <w:div w:id="1502234632">
          <w:marLeft w:val="0"/>
          <w:marRight w:val="0"/>
          <w:marTop w:val="0"/>
          <w:marBottom w:val="0"/>
          <w:divBdr>
            <w:top w:val="none" w:sz="0" w:space="0" w:color="auto"/>
            <w:left w:val="none" w:sz="0" w:space="0" w:color="auto"/>
            <w:bottom w:val="none" w:sz="0" w:space="0" w:color="auto"/>
            <w:right w:val="none" w:sz="0" w:space="0" w:color="auto"/>
          </w:divBdr>
        </w:div>
      </w:divsChild>
    </w:div>
    <w:div w:id="2084795772">
      <w:bodyDiv w:val="1"/>
      <w:marLeft w:val="0"/>
      <w:marRight w:val="0"/>
      <w:marTop w:val="0"/>
      <w:marBottom w:val="0"/>
      <w:divBdr>
        <w:top w:val="none" w:sz="0" w:space="0" w:color="auto"/>
        <w:left w:val="none" w:sz="0" w:space="0" w:color="auto"/>
        <w:bottom w:val="none" w:sz="0" w:space="0" w:color="auto"/>
        <w:right w:val="none" w:sz="0" w:space="0" w:color="auto"/>
      </w:divBdr>
      <w:divsChild>
        <w:div w:id="1476145035">
          <w:marLeft w:val="0"/>
          <w:marRight w:val="0"/>
          <w:marTop w:val="0"/>
          <w:marBottom w:val="0"/>
          <w:divBdr>
            <w:top w:val="none" w:sz="0" w:space="0" w:color="auto"/>
            <w:left w:val="none" w:sz="0" w:space="0" w:color="auto"/>
            <w:bottom w:val="none" w:sz="0" w:space="0" w:color="auto"/>
            <w:right w:val="none" w:sz="0" w:space="0" w:color="auto"/>
          </w:divBdr>
        </w:div>
      </w:divsChild>
    </w:div>
    <w:div w:id="2099061436">
      <w:bodyDiv w:val="1"/>
      <w:marLeft w:val="0"/>
      <w:marRight w:val="0"/>
      <w:marTop w:val="0"/>
      <w:marBottom w:val="0"/>
      <w:divBdr>
        <w:top w:val="none" w:sz="0" w:space="0" w:color="auto"/>
        <w:left w:val="none" w:sz="0" w:space="0" w:color="auto"/>
        <w:bottom w:val="none" w:sz="0" w:space="0" w:color="auto"/>
        <w:right w:val="none" w:sz="0" w:space="0" w:color="auto"/>
      </w:divBdr>
      <w:divsChild>
        <w:div w:id="2118475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diagramQuickStyle" Target="diagrams/quickStyle1.xml"/><Relationship Id="rId26" Type="http://schemas.openxmlformats.org/officeDocument/2006/relationships/image" Target="media/image12.gif"/><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diagramLayout" Target="diagrams/layout1.xml"/><Relationship Id="rId25" Type="http://schemas.openxmlformats.org/officeDocument/2006/relationships/image" Target="media/image11.gif"/><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24" Type="http://schemas.openxmlformats.org/officeDocument/2006/relationships/image" Target="media/image10.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footer" Target="footer2.xml"/><Relationship Id="rId19" Type="http://schemas.openxmlformats.org/officeDocument/2006/relationships/diagramColors" Target="diagrams/colors1.xml"/><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image" Target="media/image13.gif"/><Relationship Id="rId30" Type="http://schemas.openxmlformats.org/officeDocument/2006/relationships/image" Target="media/image16.png"/><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BA5FBA-3EFE-4A15-8A52-905EAAAAA3D9}" type="doc">
      <dgm:prSet loTypeId="urn:microsoft.com/office/officeart/2005/8/layout/hierarchy5" loCatId="hierarchy" qsTypeId="urn:microsoft.com/office/officeart/2005/8/quickstyle/simple3" qsCatId="simple" csTypeId="urn:microsoft.com/office/officeart/2005/8/colors/accent0_1" csCatId="mainScheme" phldr="1"/>
      <dgm:spPr/>
      <dgm:t>
        <a:bodyPr/>
        <a:lstStyle/>
        <a:p>
          <a:endParaRPr lang="cs-CZ"/>
        </a:p>
      </dgm:t>
    </dgm:pt>
    <dgm:pt modelId="{321D3323-5490-47DF-8DBF-7CD1E75C9A49}">
      <dgm:prSet phldrT="[Text]" custT="1"/>
      <dgm:spPr>
        <a:solidFill>
          <a:schemeClr val="bg1">
            <a:alpha val="90000"/>
          </a:schemeClr>
        </a:solidFill>
        <a:ln>
          <a:solidFill>
            <a:schemeClr val="bg1"/>
          </a:solidFill>
        </a:ln>
        <a:effectLst/>
      </dgm:spPr>
      <dgm:t>
        <a:bodyPr/>
        <a:lstStyle/>
        <a:p>
          <a:pPr algn="ctr"/>
          <a:r>
            <a:rPr lang="cs-CZ" sz="1400" b="0">
              <a:latin typeface="Times New Roman" pitchFamily="18" charset="0"/>
              <a:cs typeface="Times New Roman" pitchFamily="18" charset="0"/>
            </a:rPr>
            <a:t>OPCE</a:t>
          </a:r>
        </a:p>
      </dgm:t>
    </dgm:pt>
    <dgm:pt modelId="{4DF17C75-8FEC-442A-B7EC-4A301897E72E}" type="parTrans" cxnId="{580B2BF2-477B-4E1F-B69F-0378C98AF9DC}">
      <dgm:prSet/>
      <dgm:spPr/>
      <dgm:t>
        <a:bodyPr/>
        <a:lstStyle/>
        <a:p>
          <a:pPr algn="ctr"/>
          <a:endParaRPr lang="cs-CZ"/>
        </a:p>
      </dgm:t>
    </dgm:pt>
    <dgm:pt modelId="{B8E10902-EC21-4B6E-B439-A8F278A1D465}" type="sibTrans" cxnId="{580B2BF2-477B-4E1F-B69F-0378C98AF9DC}">
      <dgm:prSet/>
      <dgm:spPr/>
      <dgm:t>
        <a:bodyPr/>
        <a:lstStyle/>
        <a:p>
          <a:pPr algn="ctr"/>
          <a:endParaRPr lang="cs-CZ"/>
        </a:p>
      </dgm:t>
    </dgm:pt>
    <dgm:pt modelId="{DBE1F88E-7C46-43FE-879B-84610999A78E}">
      <dgm:prSet phldrT="[Text]" custT="1"/>
      <dgm:spPr>
        <a:solidFill>
          <a:schemeClr val="bg1">
            <a:alpha val="90000"/>
          </a:schemeClr>
        </a:solidFill>
        <a:ln>
          <a:solidFill>
            <a:schemeClr val="bg1"/>
          </a:solidFill>
        </a:ln>
      </dgm:spPr>
      <dgm:t>
        <a:bodyPr/>
        <a:lstStyle/>
        <a:p>
          <a:pPr algn="ctr"/>
          <a:r>
            <a:rPr lang="cs-CZ" sz="1100">
              <a:latin typeface="Times New Roman" pitchFamily="18" charset="0"/>
              <a:cs typeface="Times New Roman" pitchFamily="18" charset="0"/>
            </a:rPr>
            <a:t>Kupní (call) opce</a:t>
          </a:r>
        </a:p>
      </dgm:t>
    </dgm:pt>
    <dgm:pt modelId="{CF422AC6-985B-4DE5-9781-690FF218E07A}" type="parTrans" cxnId="{608B757D-DAC1-4C56-8378-81599C04C1CF}">
      <dgm:prSet/>
      <dgm:spPr/>
      <dgm:t>
        <a:bodyPr/>
        <a:lstStyle/>
        <a:p>
          <a:pPr algn="ctr"/>
          <a:endParaRPr lang="cs-CZ"/>
        </a:p>
      </dgm:t>
    </dgm:pt>
    <dgm:pt modelId="{BCF4262D-35B4-4B41-B494-E5089A4AC9B4}" type="sibTrans" cxnId="{608B757D-DAC1-4C56-8378-81599C04C1CF}">
      <dgm:prSet/>
      <dgm:spPr/>
      <dgm:t>
        <a:bodyPr/>
        <a:lstStyle/>
        <a:p>
          <a:pPr algn="ctr"/>
          <a:endParaRPr lang="cs-CZ"/>
        </a:p>
      </dgm:t>
    </dgm:pt>
    <dgm:pt modelId="{0E98A032-FC1E-48E2-8D70-E67AC5160250}">
      <dgm:prSet phldrT="[Text]" custT="1"/>
      <dgm:spPr>
        <a:solidFill>
          <a:schemeClr val="bg1">
            <a:alpha val="90000"/>
          </a:schemeClr>
        </a:solidFill>
      </dgm:spPr>
      <dgm:t>
        <a:bodyPr/>
        <a:lstStyle/>
        <a:p>
          <a:pPr algn="ctr"/>
          <a:r>
            <a:rPr lang="cs-CZ" sz="1100">
              <a:latin typeface="Times New Roman" pitchFamily="18" charset="0"/>
              <a:cs typeface="Times New Roman" pitchFamily="18" charset="0"/>
            </a:rPr>
            <a:t>Koupená opce (long call)</a:t>
          </a:r>
        </a:p>
      </dgm:t>
    </dgm:pt>
    <dgm:pt modelId="{42A893A8-A7B5-4043-8D21-25588E6ABF19}" type="parTrans" cxnId="{C2DC582A-8DE3-45A4-9D48-9E20C0807D6F}">
      <dgm:prSet/>
      <dgm:spPr/>
      <dgm:t>
        <a:bodyPr/>
        <a:lstStyle/>
        <a:p>
          <a:pPr algn="ctr"/>
          <a:endParaRPr lang="cs-CZ"/>
        </a:p>
      </dgm:t>
    </dgm:pt>
    <dgm:pt modelId="{DEAF72BA-08AF-4343-BA54-C0E82B603551}" type="sibTrans" cxnId="{C2DC582A-8DE3-45A4-9D48-9E20C0807D6F}">
      <dgm:prSet/>
      <dgm:spPr/>
      <dgm:t>
        <a:bodyPr/>
        <a:lstStyle/>
        <a:p>
          <a:pPr algn="ctr"/>
          <a:endParaRPr lang="cs-CZ"/>
        </a:p>
      </dgm:t>
    </dgm:pt>
    <dgm:pt modelId="{20D7C3EB-8364-42B0-8B06-C17AD467AD95}">
      <dgm:prSet phldrT="[Text]" custT="1"/>
      <dgm:spPr>
        <a:solidFill>
          <a:schemeClr val="bg1">
            <a:alpha val="90000"/>
          </a:schemeClr>
        </a:solidFill>
      </dgm:spPr>
      <dgm:t>
        <a:bodyPr/>
        <a:lstStyle/>
        <a:p>
          <a:pPr algn="ctr"/>
          <a:r>
            <a:rPr lang="cs-CZ" sz="1100">
              <a:latin typeface="Times New Roman" pitchFamily="18" charset="0"/>
              <a:cs typeface="Times New Roman" pitchFamily="18" charset="0"/>
            </a:rPr>
            <a:t>Prodaná opce (short call)</a:t>
          </a:r>
        </a:p>
      </dgm:t>
    </dgm:pt>
    <dgm:pt modelId="{9BF97FA9-BE01-497B-94FB-0E35407168F0}" type="parTrans" cxnId="{2DE6C4C6-F889-44D3-B4BB-C351EA528AEB}">
      <dgm:prSet/>
      <dgm:spPr/>
      <dgm:t>
        <a:bodyPr/>
        <a:lstStyle/>
        <a:p>
          <a:pPr algn="ctr"/>
          <a:endParaRPr lang="cs-CZ"/>
        </a:p>
      </dgm:t>
    </dgm:pt>
    <dgm:pt modelId="{56A23DB4-FCB9-451F-B6FC-7BC3078A25FB}" type="sibTrans" cxnId="{2DE6C4C6-F889-44D3-B4BB-C351EA528AEB}">
      <dgm:prSet/>
      <dgm:spPr/>
      <dgm:t>
        <a:bodyPr/>
        <a:lstStyle/>
        <a:p>
          <a:pPr algn="ctr"/>
          <a:endParaRPr lang="cs-CZ"/>
        </a:p>
      </dgm:t>
    </dgm:pt>
    <dgm:pt modelId="{8B051501-0731-4EC6-8FA4-3E628DB2281C}">
      <dgm:prSet phldrT="[Text]" custT="1"/>
      <dgm:spPr>
        <a:solidFill>
          <a:schemeClr val="bg1">
            <a:alpha val="90000"/>
          </a:schemeClr>
        </a:solidFill>
        <a:ln>
          <a:solidFill>
            <a:schemeClr val="bg1"/>
          </a:solidFill>
        </a:ln>
      </dgm:spPr>
      <dgm:t>
        <a:bodyPr/>
        <a:lstStyle/>
        <a:p>
          <a:pPr algn="ctr"/>
          <a:r>
            <a:rPr lang="cs-CZ" sz="1100">
              <a:latin typeface="Times New Roman" pitchFamily="18" charset="0"/>
              <a:cs typeface="Times New Roman" pitchFamily="18" charset="0"/>
            </a:rPr>
            <a:t>Prodejní (put) opce</a:t>
          </a:r>
        </a:p>
      </dgm:t>
    </dgm:pt>
    <dgm:pt modelId="{ED0EA66A-2502-4EB9-A9BB-D44432E63852}" type="parTrans" cxnId="{687124CD-5F17-4459-B0EA-46615CD81F7E}">
      <dgm:prSet/>
      <dgm:spPr/>
      <dgm:t>
        <a:bodyPr/>
        <a:lstStyle/>
        <a:p>
          <a:pPr algn="ctr"/>
          <a:endParaRPr lang="cs-CZ"/>
        </a:p>
      </dgm:t>
    </dgm:pt>
    <dgm:pt modelId="{F96CA87A-63F3-4328-A964-6A7DA7958FF0}" type="sibTrans" cxnId="{687124CD-5F17-4459-B0EA-46615CD81F7E}">
      <dgm:prSet/>
      <dgm:spPr/>
      <dgm:t>
        <a:bodyPr/>
        <a:lstStyle/>
        <a:p>
          <a:pPr algn="ctr"/>
          <a:endParaRPr lang="cs-CZ"/>
        </a:p>
      </dgm:t>
    </dgm:pt>
    <dgm:pt modelId="{9E76E862-A413-440C-9DDE-DC3C41CD0F8A}">
      <dgm:prSet phldrT="[Text]" custT="1"/>
      <dgm:spPr>
        <a:solidFill>
          <a:schemeClr val="bg1">
            <a:alpha val="90000"/>
          </a:schemeClr>
        </a:solidFill>
      </dgm:spPr>
      <dgm:t>
        <a:bodyPr/>
        <a:lstStyle/>
        <a:p>
          <a:pPr algn="ctr"/>
          <a:r>
            <a:rPr lang="cs-CZ" sz="1100">
              <a:latin typeface="Times New Roman" pitchFamily="18" charset="0"/>
              <a:cs typeface="Times New Roman" pitchFamily="18" charset="0"/>
            </a:rPr>
            <a:t>Koupená opce (long put)</a:t>
          </a:r>
        </a:p>
      </dgm:t>
    </dgm:pt>
    <dgm:pt modelId="{25003926-858A-473E-B5D6-C0374BEFFFAC}" type="parTrans" cxnId="{0CB12015-A9C3-43C0-86A0-4EF9F4F181D4}">
      <dgm:prSet/>
      <dgm:spPr/>
      <dgm:t>
        <a:bodyPr/>
        <a:lstStyle/>
        <a:p>
          <a:pPr algn="ctr"/>
          <a:endParaRPr lang="cs-CZ"/>
        </a:p>
      </dgm:t>
    </dgm:pt>
    <dgm:pt modelId="{438A54F9-5D5C-4AA4-8B74-CBEDC36F5487}" type="sibTrans" cxnId="{0CB12015-A9C3-43C0-86A0-4EF9F4F181D4}">
      <dgm:prSet/>
      <dgm:spPr/>
      <dgm:t>
        <a:bodyPr/>
        <a:lstStyle/>
        <a:p>
          <a:pPr algn="ctr"/>
          <a:endParaRPr lang="cs-CZ"/>
        </a:p>
      </dgm:t>
    </dgm:pt>
    <dgm:pt modelId="{E2943051-268B-40B9-9637-36C8B1ACE741}">
      <dgm:prSet custT="1"/>
      <dgm:spPr>
        <a:solidFill>
          <a:schemeClr val="bg1">
            <a:alpha val="90000"/>
          </a:schemeClr>
        </a:solidFill>
      </dgm:spPr>
      <dgm:t>
        <a:bodyPr/>
        <a:lstStyle/>
        <a:p>
          <a:pPr algn="ctr"/>
          <a:r>
            <a:rPr lang="cs-CZ" sz="1100">
              <a:latin typeface="Times New Roman" pitchFamily="18" charset="0"/>
              <a:cs typeface="Times New Roman" pitchFamily="18" charset="0"/>
            </a:rPr>
            <a:t>Prodaná opce (short put</a:t>
          </a:r>
          <a:r>
            <a:rPr lang="cs-CZ" sz="1200">
              <a:latin typeface="Times New Roman" pitchFamily="18" charset="0"/>
              <a:cs typeface="Times New Roman" pitchFamily="18" charset="0"/>
            </a:rPr>
            <a:t>)</a:t>
          </a:r>
        </a:p>
      </dgm:t>
    </dgm:pt>
    <dgm:pt modelId="{5BE881A0-083F-4FCB-A9C5-3BD5C38FC520}" type="parTrans" cxnId="{586A07D8-3BBA-4B60-A51A-E004E575D904}">
      <dgm:prSet/>
      <dgm:spPr/>
      <dgm:t>
        <a:bodyPr/>
        <a:lstStyle/>
        <a:p>
          <a:pPr algn="ctr"/>
          <a:endParaRPr lang="cs-CZ"/>
        </a:p>
      </dgm:t>
    </dgm:pt>
    <dgm:pt modelId="{46FF7BC8-13B3-4D38-BA33-131F49814CFC}" type="sibTrans" cxnId="{586A07D8-3BBA-4B60-A51A-E004E575D904}">
      <dgm:prSet/>
      <dgm:spPr/>
      <dgm:t>
        <a:bodyPr/>
        <a:lstStyle/>
        <a:p>
          <a:pPr algn="ctr"/>
          <a:endParaRPr lang="cs-CZ"/>
        </a:p>
      </dgm:t>
    </dgm:pt>
    <dgm:pt modelId="{7FE488C4-2230-40ED-854F-EB3F1FD08CDC}" type="pres">
      <dgm:prSet presAssocID="{49BA5FBA-3EFE-4A15-8A52-905EAAAAA3D9}" presName="mainComposite" presStyleCnt="0">
        <dgm:presLayoutVars>
          <dgm:chPref val="1"/>
          <dgm:dir/>
          <dgm:animOne val="branch"/>
          <dgm:animLvl val="lvl"/>
          <dgm:resizeHandles val="exact"/>
        </dgm:presLayoutVars>
      </dgm:prSet>
      <dgm:spPr/>
      <dgm:t>
        <a:bodyPr/>
        <a:lstStyle/>
        <a:p>
          <a:endParaRPr lang="cs-CZ"/>
        </a:p>
      </dgm:t>
    </dgm:pt>
    <dgm:pt modelId="{0F120D11-5636-4BDA-9B91-AF2914377B30}" type="pres">
      <dgm:prSet presAssocID="{49BA5FBA-3EFE-4A15-8A52-905EAAAAA3D9}" presName="hierFlow" presStyleCnt="0"/>
      <dgm:spPr/>
    </dgm:pt>
    <dgm:pt modelId="{CCFD26EC-E0E1-4027-86F6-4019B83FBF54}" type="pres">
      <dgm:prSet presAssocID="{49BA5FBA-3EFE-4A15-8A52-905EAAAAA3D9}" presName="hierChild1" presStyleCnt="0">
        <dgm:presLayoutVars>
          <dgm:chPref val="1"/>
          <dgm:animOne val="branch"/>
          <dgm:animLvl val="lvl"/>
        </dgm:presLayoutVars>
      </dgm:prSet>
      <dgm:spPr/>
    </dgm:pt>
    <dgm:pt modelId="{8CBDC989-071A-433D-B775-774FF0BCBD21}" type="pres">
      <dgm:prSet presAssocID="{321D3323-5490-47DF-8DBF-7CD1E75C9A49}" presName="Name17" presStyleCnt="0"/>
      <dgm:spPr/>
    </dgm:pt>
    <dgm:pt modelId="{86F8E193-A60D-44A0-8555-7D9925ADA5E5}" type="pres">
      <dgm:prSet presAssocID="{321D3323-5490-47DF-8DBF-7CD1E75C9A49}" presName="level1Shape" presStyleLbl="node0" presStyleIdx="0" presStyleCnt="1">
        <dgm:presLayoutVars>
          <dgm:chPref val="3"/>
        </dgm:presLayoutVars>
      </dgm:prSet>
      <dgm:spPr/>
      <dgm:t>
        <a:bodyPr/>
        <a:lstStyle/>
        <a:p>
          <a:endParaRPr lang="cs-CZ"/>
        </a:p>
      </dgm:t>
    </dgm:pt>
    <dgm:pt modelId="{C48BE7AF-AB0E-4467-AAC9-E818DF6B4075}" type="pres">
      <dgm:prSet presAssocID="{321D3323-5490-47DF-8DBF-7CD1E75C9A49}" presName="hierChild2" presStyleCnt="0"/>
      <dgm:spPr/>
    </dgm:pt>
    <dgm:pt modelId="{4C8463F8-7B66-4F56-9C92-0305F6AE2841}" type="pres">
      <dgm:prSet presAssocID="{CF422AC6-985B-4DE5-9781-690FF218E07A}" presName="Name25" presStyleLbl="parChTrans1D2" presStyleIdx="0" presStyleCnt="2"/>
      <dgm:spPr/>
      <dgm:t>
        <a:bodyPr/>
        <a:lstStyle/>
        <a:p>
          <a:endParaRPr lang="cs-CZ"/>
        </a:p>
      </dgm:t>
    </dgm:pt>
    <dgm:pt modelId="{0262D4DA-FAF1-4714-B650-AAE7A0BE7672}" type="pres">
      <dgm:prSet presAssocID="{CF422AC6-985B-4DE5-9781-690FF218E07A}" presName="connTx" presStyleLbl="parChTrans1D2" presStyleIdx="0" presStyleCnt="2"/>
      <dgm:spPr/>
      <dgm:t>
        <a:bodyPr/>
        <a:lstStyle/>
        <a:p>
          <a:endParaRPr lang="cs-CZ"/>
        </a:p>
      </dgm:t>
    </dgm:pt>
    <dgm:pt modelId="{8966803E-3860-44B1-8503-56F5874D4EE8}" type="pres">
      <dgm:prSet presAssocID="{DBE1F88E-7C46-43FE-879B-84610999A78E}" presName="Name30" presStyleCnt="0"/>
      <dgm:spPr/>
    </dgm:pt>
    <dgm:pt modelId="{B536645F-7536-4D65-85CC-D6A4F9FBBF84}" type="pres">
      <dgm:prSet presAssocID="{DBE1F88E-7C46-43FE-879B-84610999A78E}" presName="level2Shape" presStyleLbl="node2" presStyleIdx="0" presStyleCnt="2" custScaleX="165176"/>
      <dgm:spPr/>
      <dgm:t>
        <a:bodyPr/>
        <a:lstStyle/>
        <a:p>
          <a:endParaRPr lang="cs-CZ"/>
        </a:p>
      </dgm:t>
    </dgm:pt>
    <dgm:pt modelId="{90CE09D3-2921-434A-94B2-93970A116DB7}" type="pres">
      <dgm:prSet presAssocID="{DBE1F88E-7C46-43FE-879B-84610999A78E}" presName="hierChild3" presStyleCnt="0"/>
      <dgm:spPr/>
    </dgm:pt>
    <dgm:pt modelId="{B170BF84-41A1-40EF-9AE7-B98AD949D3D7}" type="pres">
      <dgm:prSet presAssocID="{42A893A8-A7B5-4043-8D21-25588E6ABF19}" presName="Name25" presStyleLbl="parChTrans1D3" presStyleIdx="0" presStyleCnt="4"/>
      <dgm:spPr/>
      <dgm:t>
        <a:bodyPr/>
        <a:lstStyle/>
        <a:p>
          <a:endParaRPr lang="cs-CZ"/>
        </a:p>
      </dgm:t>
    </dgm:pt>
    <dgm:pt modelId="{0C19B5E6-0F1D-47E7-B156-78BB2FCBCA4B}" type="pres">
      <dgm:prSet presAssocID="{42A893A8-A7B5-4043-8D21-25588E6ABF19}" presName="connTx" presStyleLbl="parChTrans1D3" presStyleIdx="0" presStyleCnt="4"/>
      <dgm:spPr/>
      <dgm:t>
        <a:bodyPr/>
        <a:lstStyle/>
        <a:p>
          <a:endParaRPr lang="cs-CZ"/>
        </a:p>
      </dgm:t>
    </dgm:pt>
    <dgm:pt modelId="{45E48D25-35C9-4836-91AB-8B16ABC68DEB}" type="pres">
      <dgm:prSet presAssocID="{0E98A032-FC1E-48E2-8D70-E67AC5160250}" presName="Name30" presStyleCnt="0"/>
      <dgm:spPr/>
    </dgm:pt>
    <dgm:pt modelId="{A0283992-38F4-49BD-8DCC-DBD249954F9A}" type="pres">
      <dgm:prSet presAssocID="{0E98A032-FC1E-48E2-8D70-E67AC5160250}" presName="level2Shape" presStyleLbl="node3" presStyleIdx="0" presStyleCnt="4" custScaleX="233125"/>
      <dgm:spPr/>
      <dgm:t>
        <a:bodyPr/>
        <a:lstStyle/>
        <a:p>
          <a:endParaRPr lang="cs-CZ"/>
        </a:p>
      </dgm:t>
    </dgm:pt>
    <dgm:pt modelId="{507C65DE-C9E8-4DFA-85B0-6E67637050C3}" type="pres">
      <dgm:prSet presAssocID="{0E98A032-FC1E-48E2-8D70-E67AC5160250}" presName="hierChild3" presStyleCnt="0"/>
      <dgm:spPr/>
    </dgm:pt>
    <dgm:pt modelId="{B33807AC-2730-4F21-8539-1CF0DDCD9BC5}" type="pres">
      <dgm:prSet presAssocID="{9BF97FA9-BE01-497B-94FB-0E35407168F0}" presName="Name25" presStyleLbl="parChTrans1D3" presStyleIdx="1" presStyleCnt="4"/>
      <dgm:spPr/>
      <dgm:t>
        <a:bodyPr/>
        <a:lstStyle/>
        <a:p>
          <a:endParaRPr lang="cs-CZ"/>
        </a:p>
      </dgm:t>
    </dgm:pt>
    <dgm:pt modelId="{F07E13B4-4E23-453E-B8A9-1B9EC8B009E2}" type="pres">
      <dgm:prSet presAssocID="{9BF97FA9-BE01-497B-94FB-0E35407168F0}" presName="connTx" presStyleLbl="parChTrans1D3" presStyleIdx="1" presStyleCnt="4"/>
      <dgm:spPr/>
      <dgm:t>
        <a:bodyPr/>
        <a:lstStyle/>
        <a:p>
          <a:endParaRPr lang="cs-CZ"/>
        </a:p>
      </dgm:t>
    </dgm:pt>
    <dgm:pt modelId="{C54F59B2-A948-4FED-A930-1039ECF53147}" type="pres">
      <dgm:prSet presAssocID="{20D7C3EB-8364-42B0-8B06-C17AD467AD95}" presName="Name30" presStyleCnt="0"/>
      <dgm:spPr/>
    </dgm:pt>
    <dgm:pt modelId="{EACEAEF5-E091-4582-A517-0A661A814A53}" type="pres">
      <dgm:prSet presAssocID="{20D7C3EB-8364-42B0-8B06-C17AD467AD95}" presName="level2Shape" presStyleLbl="node3" presStyleIdx="1" presStyleCnt="4" custScaleX="234826"/>
      <dgm:spPr/>
      <dgm:t>
        <a:bodyPr/>
        <a:lstStyle/>
        <a:p>
          <a:endParaRPr lang="cs-CZ"/>
        </a:p>
      </dgm:t>
    </dgm:pt>
    <dgm:pt modelId="{AD128215-1CC7-4955-8D04-14DE9B035FE6}" type="pres">
      <dgm:prSet presAssocID="{20D7C3EB-8364-42B0-8B06-C17AD467AD95}" presName="hierChild3" presStyleCnt="0"/>
      <dgm:spPr/>
    </dgm:pt>
    <dgm:pt modelId="{1BE6A64F-4657-49A7-A79B-83E3280B845D}" type="pres">
      <dgm:prSet presAssocID="{ED0EA66A-2502-4EB9-A9BB-D44432E63852}" presName="Name25" presStyleLbl="parChTrans1D2" presStyleIdx="1" presStyleCnt="2"/>
      <dgm:spPr/>
      <dgm:t>
        <a:bodyPr/>
        <a:lstStyle/>
        <a:p>
          <a:endParaRPr lang="cs-CZ"/>
        </a:p>
      </dgm:t>
    </dgm:pt>
    <dgm:pt modelId="{2FBF8BE5-03CD-4F70-9800-FFF364398B94}" type="pres">
      <dgm:prSet presAssocID="{ED0EA66A-2502-4EB9-A9BB-D44432E63852}" presName="connTx" presStyleLbl="parChTrans1D2" presStyleIdx="1" presStyleCnt="2"/>
      <dgm:spPr/>
      <dgm:t>
        <a:bodyPr/>
        <a:lstStyle/>
        <a:p>
          <a:endParaRPr lang="cs-CZ"/>
        </a:p>
      </dgm:t>
    </dgm:pt>
    <dgm:pt modelId="{E3FC1A49-79A0-4051-8586-B254ADB54EEF}" type="pres">
      <dgm:prSet presAssocID="{8B051501-0731-4EC6-8FA4-3E628DB2281C}" presName="Name30" presStyleCnt="0"/>
      <dgm:spPr/>
    </dgm:pt>
    <dgm:pt modelId="{7957E2A9-C198-4527-898A-47F84F668F0C}" type="pres">
      <dgm:prSet presAssocID="{8B051501-0731-4EC6-8FA4-3E628DB2281C}" presName="level2Shape" presStyleLbl="node2" presStyleIdx="1" presStyleCnt="2" custScaleX="164282"/>
      <dgm:spPr/>
      <dgm:t>
        <a:bodyPr/>
        <a:lstStyle/>
        <a:p>
          <a:endParaRPr lang="cs-CZ"/>
        </a:p>
      </dgm:t>
    </dgm:pt>
    <dgm:pt modelId="{D91A3CD6-80B5-4E40-8364-E12A75EBC864}" type="pres">
      <dgm:prSet presAssocID="{8B051501-0731-4EC6-8FA4-3E628DB2281C}" presName="hierChild3" presStyleCnt="0"/>
      <dgm:spPr/>
    </dgm:pt>
    <dgm:pt modelId="{6BEBC791-D3F6-4112-B8A0-DAC4F0E19C37}" type="pres">
      <dgm:prSet presAssocID="{25003926-858A-473E-B5D6-C0374BEFFFAC}" presName="Name25" presStyleLbl="parChTrans1D3" presStyleIdx="2" presStyleCnt="4"/>
      <dgm:spPr/>
      <dgm:t>
        <a:bodyPr/>
        <a:lstStyle/>
        <a:p>
          <a:endParaRPr lang="cs-CZ"/>
        </a:p>
      </dgm:t>
    </dgm:pt>
    <dgm:pt modelId="{BF22DD41-E9D3-4419-BB6D-DCC30FD98611}" type="pres">
      <dgm:prSet presAssocID="{25003926-858A-473E-B5D6-C0374BEFFFAC}" presName="connTx" presStyleLbl="parChTrans1D3" presStyleIdx="2" presStyleCnt="4"/>
      <dgm:spPr/>
      <dgm:t>
        <a:bodyPr/>
        <a:lstStyle/>
        <a:p>
          <a:endParaRPr lang="cs-CZ"/>
        </a:p>
      </dgm:t>
    </dgm:pt>
    <dgm:pt modelId="{036E1520-18FE-49BD-9A46-9C153AC943D9}" type="pres">
      <dgm:prSet presAssocID="{9E76E862-A413-440C-9DDE-DC3C41CD0F8A}" presName="Name30" presStyleCnt="0"/>
      <dgm:spPr/>
    </dgm:pt>
    <dgm:pt modelId="{B631CC48-5D71-4541-81DD-9C028EACDD7B}" type="pres">
      <dgm:prSet presAssocID="{9E76E862-A413-440C-9DDE-DC3C41CD0F8A}" presName="level2Shape" presStyleLbl="node3" presStyleIdx="2" presStyleCnt="4" custScaleX="235677"/>
      <dgm:spPr/>
      <dgm:t>
        <a:bodyPr/>
        <a:lstStyle/>
        <a:p>
          <a:endParaRPr lang="cs-CZ"/>
        </a:p>
      </dgm:t>
    </dgm:pt>
    <dgm:pt modelId="{715363B7-E3B6-4B1D-B8B4-C37349278F6A}" type="pres">
      <dgm:prSet presAssocID="{9E76E862-A413-440C-9DDE-DC3C41CD0F8A}" presName="hierChild3" presStyleCnt="0"/>
      <dgm:spPr/>
    </dgm:pt>
    <dgm:pt modelId="{B2FED3FC-471D-4BB7-9AA7-7CB36574F44F}" type="pres">
      <dgm:prSet presAssocID="{5BE881A0-083F-4FCB-A9C5-3BD5C38FC520}" presName="Name25" presStyleLbl="parChTrans1D3" presStyleIdx="3" presStyleCnt="4"/>
      <dgm:spPr/>
      <dgm:t>
        <a:bodyPr/>
        <a:lstStyle/>
        <a:p>
          <a:endParaRPr lang="cs-CZ"/>
        </a:p>
      </dgm:t>
    </dgm:pt>
    <dgm:pt modelId="{9A058AE3-AD0F-40B4-9A0F-3B627D52E221}" type="pres">
      <dgm:prSet presAssocID="{5BE881A0-083F-4FCB-A9C5-3BD5C38FC520}" presName="connTx" presStyleLbl="parChTrans1D3" presStyleIdx="3" presStyleCnt="4"/>
      <dgm:spPr/>
      <dgm:t>
        <a:bodyPr/>
        <a:lstStyle/>
        <a:p>
          <a:endParaRPr lang="cs-CZ"/>
        </a:p>
      </dgm:t>
    </dgm:pt>
    <dgm:pt modelId="{B6BCE665-ACFB-447B-B687-CAC7FABBFE59}" type="pres">
      <dgm:prSet presAssocID="{E2943051-268B-40B9-9637-36C8B1ACE741}" presName="Name30" presStyleCnt="0"/>
      <dgm:spPr/>
    </dgm:pt>
    <dgm:pt modelId="{A44EFE6B-2B1B-4585-ADA2-53A1ABC59733}" type="pres">
      <dgm:prSet presAssocID="{E2943051-268B-40B9-9637-36C8B1ACE741}" presName="level2Shape" presStyleLbl="node3" presStyleIdx="3" presStyleCnt="4" custScaleX="236645"/>
      <dgm:spPr/>
      <dgm:t>
        <a:bodyPr/>
        <a:lstStyle/>
        <a:p>
          <a:endParaRPr lang="cs-CZ"/>
        </a:p>
      </dgm:t>
    </dgm:pt>
    <dgm:pt modelId="{11B27739-5A36-4CBE-A7CE-FF24D7007675}" type="pres">
      <dgm:prSet presAssocID="{E2943051-268B-40B9-9637-36C8B1ACE741}" presName="hierChild3" presStyleCnt="0"/>
      <dgm:spPr/>
    </dgm:pt>
    <dgm:pt modelId="{BA40A987-32B6-4FC4-A870-E7A56CCA5FC6}" type="pres">
      <dgm:prSet presAssocID="{49BA5FBA-3EFE-4A15-8A52-905EAAAAA3D9}" presName="bgShapesFlow" presStyleCnt="0"/>
      <dgm:spPr/>
    </dgm:pt>
  </dgm:ptLst>
  <dgm:cxnLst>
    <dgm:cxn modelId="{CBC6C1DC-CBAB-415C-9C2C-305BB8AC725D}" type="presOf" srcId="{42A893A8-A7B5-4043-8D21-25588E6ABF19}" destId="{B170BF84-41A1-40EF-9AE7-B98AD949D3D7}" srcOrd="0" destOrd="0" presId="urn:microsoft.com/office/officeart/2005/8/layout/hierarchy5"/>
    <dgm:cxn modelId="{580B2BF2-477B-4E1F-B69F-0378C98AF9DC}" srcId="{49BA5FBA-3EFE-4A15-8A52-905EAAAAA3D9}" destId="{321D3323-5490-47DF-8DBF-7CD1E75C9A49}" srcOrd="0" destOrd="0" parTransId="{4DF17C75-8FEC-442A-B7EC-4A301897E72E}" sibTransId="{B8E10902-EC21-4B6E-B439-A8F278A1D465}"/>
    <dgm:cxn modelId="{1AC4575B-042A-4880-8203-9F0B078DB801}" type="presOf" srcId="{CF422AC6-985B-4DE5-9781-690FF218E07A}" destId="{4C8463F8-7B66-4F56-9C92-0305F6AE2841}" srcOrd="0" destOrd="0" presId="urn:microsoft.com/office/officeart/2005/8/layout/hierarchy5"/>
    <dgm:cxn modelId="{694E0E4B-1E60-49D2-952A-9D6A9EA76D7E}" type="presOf" srcId="{8B051501-0731-4EC6-8FA4-3E628DB2281C}" destId="{7957E2A9-C198-4527-898A-47F84F668F0C}" srcOrd="0" destOrd="0" presId="urn:microsoft.com/office/officeart/2005/8/layout/hierarchy5"/>
    <dgm:cxn modelId="{687124CD-5F17-4459-B0EA-46615CD81F7E}" srcId="{321D3323-5490-47DF-8DBF-7CD1E75C9A49}" destId="{8B051501-0731-4EC6-8FA4-3E628DB2281C}" srcOrd="1" destOrd="0" parTransId="{ED0EA66A-2502-4EB9-A9BB-D44432E63852}" sibTransId="{F96CA87A-63F3-4328-A964-6A7DA7958FF0}"/>
    <dgm:cxn modelId="{586A07D8-3BBA-4B60-A51A-E004E575D904}" srcId="{8B051501-0731-4EC6-8FA4-3E628DB2281C}" destId="{E2943051-268B-40B9-9637-36C8B1ACE741}" srcOrd="1" destOrd="0" parTransId="{5BE881A0-083F-4FCB-A9C5-3BD5C38FC520}" sibTransId="{46FF7BC8-13B3-4D38-BA33-131F49814CFC}"/>
    <dgm:cxn modelId="{70DACB04-1456-4716-8F17-10EC8487BBB1}" type="presOf" srcId="{0E98A032-FC1E-48E2-8D70-E67AC5160250}" destId="{A0283992-38F4-49BD-8DCC-DBD249954F9A}" srcOrd="0" destOrd="0" presId="urn:microsoft.com/office/officeart/2005/8/layout/hierarchy5"/>
    <dgm:cxn modelId="{3F7429C5-79B8-4BDA-AA6C-2B4D3A0F5222}" type="presOf" srcId="{E2943051-268B-40B9-9637-36C8B1ACE741}" destId="{A44EFE6B-2B1B-4585-ADA2-53A1ABC59733}" srcOrd="0" destOrd="0" presId="urn:microsoft.com/office/officeart/2005/8/layout/hierarchy5"/>
    <dgm:cxn modelId="{0E1CC83F-E19D-4957-A4E6-23705D8C20FA}" type="presOf" srcId="{ED0EA66A-2502-4EB9-A9BB-D44432E63852}" destId="{2FBF8BE5-03CD-4F70-9800-FFF364398B94}" srcOrd="1" destOrd="0" presId="urn:microsoft.com/office/officeart/2005/8/layout/hierarchy5"/>
    <dgm:cxn modelId="{7112FA01-EEAB-4E25-9A12-42D5093D6578}" type="presOf" srcId="{25003926-858A-473E-B5D6-C0374BEFFFAC}" destId="{6BEBC791-D3F6-4112-B8A0-DAC4F0E19C37}" srcOrd="0" destOrd="0" presId="urn:microsoft.com/office/officeart/2005/8/layout/hierarchy5"/>
    <dgm:cxn modelId="{0460E91F-4782-44E2-AF96-6B9C5A111E11}" type="presOf" srcId="{CF422AC6-985B-4DE5-9781-690FF218E07A}" destId="{0262D4DA-FAF1-4714-B650-AAE7A0BE7672}" srcOrd="1" destOrd="0" presId="urn:microsoft.com/office/officeart/2005/8/layout/hierarchy5"/>
    <dgm:cxn modelId="{B9EDF33B-D0C4-47F0-BF0E-F2E8A160C9FC}" type="presOf" srcId="{25003926-858A-473E-B5D6-C0374BEFFFAC}" destId="{BF22DD41-E9D3-4419-BB6D-DCC30FD98611}" srcOrd="1" destOrd="0" presId="urn:microsoft.com/office/officeart/2005/8/layout/hierarchy5"/>
    <dgm:cxn modelId="{02E52FEF-50F8-4973-A926-299E98644869}" type="presOf" srcId="{5BE881A0-083F-4FCB-A9C5-3BD5C38FC520}" destId="{B2FED3FC-471D-4BB7-9AA7-7CB36574F44F}" srcOrd="0" destOrd="0" presId="urn:microsoft.com/office/officeart/2005/8/layout/hierarchy5"/>
    <dgm:cxn modelId="{4F969919-1310-4F77-8E0D-DBDD081AC5D2}" type="presOf" srcId="{321D3323-5490-47DF-8DBF-7CD1E75C9A49}" destId="{86F8E193-A60D-44A0-8555-7D9925ADA5E5}" srcOrd="0" destOrd="0" presId="urn:microsoft.com/office/officeart/2005/8/layout/hierarchy5"/>
    <dgm:cxn modelId="{770A548E-319B-476C-AB3D-8220CA7BC760}" type="presOf" srcId="{9BF97FA9-BE01-497B-94FB-0E35407168F0}" destId="{F07E13B4-4E23-453E-B8A9-1B9EC8B009E2}" srcOrd="1" destOrd="0" presId="urn:microsoft.com/office/officeart/2005/8/layout/hierarchy5"/>
    <dgm:cxn modelId="{C2DC582A-8DE3-45A4-9D48-9E20C0807D6F}" srcId="{DBE1F88E-7C46-43FE-879B-84610999A78E}" destId="{0E98A032-FC1E-48E2-8D70-E67AC5160250}" srcOrd="0" destOrd="0" parTransId="{42A893A8-A7B5-4043-8D21-25588E6ABF19}" sibTransId="{DEAF72BA-08AF-4343-BA54-C0E82B603551}"/>
    <dgm:cxn modelId="{0CB12015-A9C3-43C0-86A0-4EF9F4F181D4}" srcId="{8B051501-0731-4EC6-8FA4-3E628DB2281C}" destId="{9E76E862-A413-440C-9DDE-DC3C41CD0F8A}" srcOrd="0" destOrd="0" parTransId="{25003926-858A-473E-B5D6-C0374BEFFFAC}" sibTransId="{438A54F9-5D5C-4AA4-8B74-CBEDC36F5487}"/>
    <dgm:cxn modelId="{45565083-4D53-404A-A616-76CFE7F2D045}" type="presOf" srcId="{49BA5FBA-3EFE-4A15-8A52-905EAAAAA3D9}" destId="{7FE488C4-2230-40ED-854F-EB3F1FD08CDC}" srcOrd="0" destOrd="0" presId="urn:microsoft.com/office/officeart/2005/8/layout/hierarchy5"/>
    <dgm:cxn modelId="{2DE6C4C6-F889-44D3-B4BB-C351EA528AEB}" srcId="{DBE1F88E-7C46-43FE-879B-84610999A78E}" destId="{20D7C3EB-8364-42B0-8B06-C17AD467AD95}" srcOrd="1" destOrd="0" parTransId="{9BF97FA9-BE01-497B-94FB-0E35407168F0}" sibTransId="{56A23DB4-FCB9-451F-B6FC-7BC3078A25FB}"/>
    <dgm:cxn modelId="{12E3E52A-41D6-4F9F-BD24-97FE4D3E17E8}" type="presOf" srcId="{ED0EA66A-2502-4EB9-A9BB-D44432E63852}" destId="{1BE6A64F-4657-49A7-A79B-83E3280B845D}" srcOrd="0" destOrd="0" presId="urn:microsoft.com/office/officeart/2005/8/layout/hierarchy5"/>
    <dgm:cxn modelId="{57375169-D39F-45AB-B65A-6997A48C211E}" type="presOf" srcId="{DBE1F88E-7C46-43FE-879B-84610999A78E}" destId="{B536645F-7536-4D65-85CC-D6A4F9FBBF84}" srcOrd="0" destOrd="0" presId="urn:microsoft.com/office/officeart/2005/8/layout/hierarchy5"/>
    <dgm:cxn modelId="{BB49EF8F-EA4F-44F2-91B8-9E0DADAFF9A2}" type="presOf" srcId="{42A893A8-A7B5-4043-8D21-25588E6ABF19}" destId="{0C19B5E6-0F1D-47E7-B156-78BB2FCBCA4B}" srcOrd="1" destOrd="0" presId="urn:microsoft.com/office/officeart/2005/8/layout/hierarchy5"/>
    <dgm:cxn modelId="{A73197F7-818A-464E-82D3-ACA13892381D}" type="presOf" srcId="{9BF97FA9-BE01-497B-94FB-0E35407168F0}" destId="{B33807AC-2730-4F21-8539-1CF0DDCD9BC5}" srcOrd="0" destOrd="0" presId="urn:microsoft.com/office/officeart/2005/8/layout/hierarchy5"/>
    <dgm:cxn modelId="{71C69E4F-C9BA-475E-A50A-D3BF3F6E61D0}" type="presOf" srcId="{9E76E862-A413-440C-9DDE-DC3C41CD0F8A}" destId="{B631CC48-5D71-4541-81DD-9C028EACDD7B}" srcOrd="0" destOrd="0" presId="urn:microsoft.com/office/officeart/2005/8/layout/hierarchy5"/>
    <dgm:cxn modelId="{608B757D-DAC1-4C56-8378-81599C04C1CF}" srcId="{321D3323-5490-47DF-8DBF-7CD1E75C9A49}" destId="{DBE1F88E-7C46-43FE-879B-84610999A78E}" srcOrd="0" destOrd="0" parTransId="{CF422AC6-985B-4DE5-9781-690FF218E07A}" sibTransId="{BCF4262D-35B4-4B41-B494-E5089A4AC9B4}"/>
    <dgm:cxn modelId="{9459FFAC-2433-4032-8319-F27CD8FFA3AA}" type="presOf" srcId="{5BE881A0-083F-4FCB-A9C5-3BD5C38FC520}" destId="{9A058AE3-AD0F-40B4-9A0F-3B627D52E221}" srcOrd="1" destOrd="0" presId="urn:microsoft.com/office/officeart/2005/8/layout/hierarchy5"/>
    <dgm:cxn modelId="{20F3EDB0-A829-4A5D-B8A6-ACADD8E4790D}" type="presOf" srcId="{20D7C3EB-8364-42B0-8B06-C17AD467AD95}" destId="{EACEAEF5-E091-4582-A517-0A661A814A53}" srcOrd="0" destOrd="0" presId="urn:microsoft.com/office/officeart/2005/8/layout/hierarchy5"/>
    <dgm:cxn modelId="{A1603CAC-17AC-45D7-A566-49DCE6D5BB87}" type="presParOf" srcId="{7FE488C4-2230-40ED-854F-EB3F1FD08CDC}" destId="{0F120D11-5636-4BDA-9B91-AF2914377B30}" srcOrd="0" destOrd="0" presId="urn:microsoft.com/office/officeart/2005/8/layout/hierarchy5"/>
    <dgm:cxn modelId="{756D4343-452B-4019-AA67-F5685086FA51}" type="presParOf" srcId="{0F120D11-5636-4BDA-9B91-AF2914377B30}" destId="{CCFD26EC-E0E1-4027-86F6-4019B83FBF54}" srcOrd="0" destOrd="0" presId="urn:microsoft.com/office/officeart/2005/8/layout/hierarchy5"/>
    <dgm:cxn modelId="{9A5AD473-F45D-4592-9C2E-B70BA713D2CC}" type="presParOf" srcId="{CCFD26EC-E0E1-4027-86F6-4019B83FBF54}" destId="{8CBDC989-071A-433D-B775-774FF0BCBD21}" srcOrd="0" destOrd="0" presId="urn:microsoft.com/office/officeart/2005/8/layout/hierarchy5"/>
    <dgm:cxn modelId="{1640EC33-EDAE-461C-9C14-00BE49955CA1}" type="presParOf" srcId="{8CBDC989-071A-433D-B775-774FF0BCBD21}" destId="{86F8E193-A60D-44A0-8555-7D9925ADA5E5}" srcOrd="0" destOrd="0" presId="urn:microsoft.com/office/officeart/2005/8/layout/hierarchy5"/>
    <dgm:cxn modelId="{256E3A3E-3729-4F23-B1A6-1C5CC7106490}" type="presParOf" srcId="{8CBDC989-071A-433D-B775-774FF0BCBD21}" destId="{C48BE7AF-AB0E-4467-AAC9-E818DF6B4075}" srcOrd="1" destOrd="0" presId="urn:microsoft.com/office/officeart/2005/8/layout/hierarchy5"/>
    <dgm:cxn modelId="{5E5E2F16-5DAF-4F87-BF1D-FE6B02A9D6BB}" type="presParOf" srcId="{C48BE7AF-AB0E-4467-AAC9-E818DF6B4075}" destId="{4C8463F8-7B66-4F56-9C92-0305F6AE2841}" srcOrd="0" destOrd="0" presId="urn:microsoft.com/office/officeart/2005/8/layout/hierarchy5"/>
    <dgm:cxn modelId="{2C54D7C7-5883-4935-A8E0-BECC37FEF825}" type="presParOf" srcId="{4C8463F8-7B66-4F56-9C92-0305F6AE2841}" destId="{0262D4DA-FAF1-4714-B650-AAE7A0BE7672}" srcOrd="0" destOrd="0" presId="urn:microsoft.com/office/officeart/2005/8/layout/hierarchy5"/>
    <dgm:cxn modelId="{4A60E230-C031-4CC6-9642-1BE102657F83}" type="presParOf" srcId="{C48BE7AF-AB0E-4467-AAC9-E818DF6B4075}" destId="{8966803E-3860-44B1-8503-56F5874D4EE8}" srcOrd="1" destOrd="0" presId="urn:microsoft.com/office/officeart/2005/8/layout/hierarchy5"/>
    <dgm:cxn modelId="{BD7263F1-B149-43E1-89EC-858CDE45BB0A}" type="presParOf" srcId="{8966803E-3860-44B1-8503-56F5874D4EE8}" destId="{B536645F-7536-4D65-85CC-D6A4F9FBBF84}" srcOrd="0" destOrd="0" presId="urn:microsoft.com/office/officeart/2005/8/layout/hierarchy5"/>
    <dgm:cxn modelId="{0F3876F8-458A-4B47-B5EA-85501B4C495A}" type="presParOf" srcId="{8966803E-3860-44B1-8503-56F5874D4EE8}" destId="{90CE09D3-2921-434A-94B2-93970A116DB7}" srcOrd="1" destOrd="0" presId="urn:microsoft.com/office/officeart/2005/8/layout/hierarchy5"/>
    <dgm:cxn modelId="{B13C451A-5D1B-4C74-B8AD-010352BDAF8E}" type="presParOf" srcId="{90CE09D3-2921-434A-94B2-93970A116DB7}" destId="{B170BF84-41A1-40EF-9AE7-B98AD949D3D7}" srcOrd="0" destOrd="0" presId="urn:microsoft.com/office/officeart/2005/8/layout/hierarchy5"/>
    <dgm:cxn modelId="{B03F6C33-58C0-4B6F-8359-27F2DE76B6A2}" type="presParOf" srcId="{B170BF84-41A1-40EF-9AE7-B98AD949D3D7}" destId="{0C19B5E6-0F1D-47E7-B156-78BB2FCBCA4B}" srcOrd="0" destOrd="0" presId="urn:microsoft.com/office/officeart/2005/8/layout/hierarchy5"/>
    <dgm:cxn modelId="{A277AABB-86B7-4E68-8145-F38CDF557022}" type="presParOf" srcId="{90CE09D3-2921-434A-94B2-93970A116DB7}" destId="{45E48D25-35C9-4836-91AB-8B16ABC68DEB}" srcOrd="1" destOrd="0" presId="urn:microsoft.com/office/officeart/2005/8/layout/hierarchy5"/>
    <dgm:cxn modelId="{19826B00-9C2C-4D58-BEDD-40088A5773B0}" type="presParOf" srcId="{45E48D25-35C9-4836-91AB-8B16ABC68DEB}" destId="{A0283992-38F4-49BD-8DCC-DBD249954F9A}" srcOrd="0" destOrd="0" presId="urn:microsoft.com/office/officeart/2005/8/layout/hierarchy5"/>
    <dgm:cxn modelId="{DE00BD9B-6FF3-46F9-95D5-05902CFAE3FE}" type="presParOf" srcId="{45E48D25-35C9-4836-91AB-8B16ABC68DEB}" destId="{507C65DE-C9E8-4DFA-85B0-6E67637050C3}" srcOrd="1" destOrd="0" presId="urn:microsoft.com/office/officeart/2005/8/layout/hierarchy5"/>
    <dgm:cxn modelId="{2E54A6D8-DD3B-46BB-9D5D-4F23DF7955E0}" type="presParOf" srcId="{90CE09D3-2921-434A-94B2-93970A116DB7}" destId="{B33807AC-2730-4F21-8539-1CF0DDCD9BC5}" srcOrd="2" destOrd="0" presId="urn:microsoft.com/office/officeart/2005/8/layout/hierarchy5"/>
    <dgm:cxn modelId="{5FFC9F6B-EB53-4BD1-AEC5-6826E20BD6C0}" type="presParOf" srcId="{B33807AC-2730-4F21-8539-1CF0DDCD9BC5}" destId="{F07E13B4-4E23-453E-B8A9-1B9EC8B009E2}" srcOrd="0" destOrd="0" presId="urn:microsoft.com/office/officeart/2005/8/layout/hierarchy5"/>
    <dgm:cxn modelId="{E9789D10-5147-4125-B07D-1B9D8177EE8F}" type="presParOf" srcId="{90CE09D3-2921-434A-94B2-93970A116DB7}" destId="{C54F59B2-A948-4FED-A930-1039ECF53147}" srcOrd="3" destOrd="0" presId="urn:microsoft.com/office/officeart/2005/8/layout/hierarchy5"/>
    <dgm:cxn modelId="{BC7570E2-4FE8-4D27-B56E-A123EDDFFD6F}" type="presParOf" srcId="{C54F59B2-A948-4FED-A930-1039ECF53147}" destId="{EACEAEF5-E091-4582-A517-0A661A814A53}" srcOrd="0" destOrd="0" presId="urn:microsoft.com/office/officeart/2005/8/layout/hierarchy5"/>
    <dgm:cxn modelId="{9B5FA33D-3CA4-4011-B54B-DF7E7359C48A}" type="presParOf" srcId="{C54F59B2-A948-4FED-A930-1039ECF53147}" destId="{AD128215-1CC7-4955-8D04-14DE9B035FE6}" srcOrd="1" destOrd="0" presId="urn:microsoft.com/office/officeart/2005/8/layout/hierarchy5"/>
    <dgm:cxn modelId="{34409F48-05E3-4BC6-B839-497C212AE8EA}" type="presParOf" srcId="{C48BE7AF-AB0E-4467-AAC9-E818DF6B4075}" destId="{1BE6A64F-4657-49A7-A79B-83E3280B845D}" srcOrd="2" destOrd="0" presId="urn:microsoft.com/office/officeart/2005/8/layout/hierarchy5"/>
    <dgm:cxn modelId="{2B178624-B206-4E75-912D-950665924FAA}" type="presParOf" srcId="{1BE6A64F-4657-49A7-A79B-83E3280B845D}" destId="{2FBF8BE5-03CD-4F70-9800-FFF364398B94}" srcOrd="0" destOrd="0" presId="urn:microsoft.com/office/officeart/2005/8/layout/hierarchy5"/>
    <dgm:cxn modelId="{05A3BBF2-AACF-46E0-BECB-3EA628BB9510}" type="presParOf" srcId="{C48BE7AF-AB0E-4467-AAC9-E818DF6B4075}" destId="{E3FC1A49-79A0-4051-8586-B254ADB54EEF}" srcOrd="3" destOrd="0" presId="urn:microsoft.com/office/officeart/2005/8/layout/hierarchy5"/>
    <dgm:cxn modelId="{BCC43C7A-DD19-4F85-AEBF-997898BDA285}" type="presParOf" srcId="{E3FC1A49-79A0-4051-8586-B254ADB54EEF}" destId="{7957E2A9-C198-4527-898A-47F84F668F0C}" srcOrd="0" destOrd="0" presId="urn:microsoft.com/office/officeart/2005/8/layout/hierarchy5"/>
    <dgm:cxn modelId="{1C8343A8-6AD6-46DE-BFAC-B0E965509746}" type="presParOf" srcId="{E3FC1A49-79A0-4051-8586-B254ADB54EEF}" destId="{D91A3CD6-80B5-4E40-8364-E12A75EBC864}" srcOrd="1" destOrd="0" presId="urn:microsoft.com/office/officeart/2005/8/layout/hierarchy5"/>
    <dgm:cxn modelId="{334A703D-4ACF-40C5-AE20-FF6A6E0DE3BB}" type="presParOf" srcId="{D91A3CD6-80B5-4E40-8364-E12A75EBC864}" destId="{6BEBC791-D3F6-4112-B8A0-DAC4F0E19C37}" srcOrd="0" destOrd="0" presId="urn:microsoft.com/office/officeart/2005/8/layout/hierarchy5"/>
    <dgm:cxn modelId="{1431823E-42D2-4B55-8552-E239B1A157BA}" type="presParOf" srcId="{6BEBC791-D3F6-4112-B8A0-DAC4F0E19C37}" destId="{BF22DD41-E9D3-4419-BB6D-DCC30FD98611}" srcOrd="0" destOrd="0" presId="urn:microsoft.com/office/officeart/2005/8/layout/hierarchy5"/>
    <dgm:cxn modelId="{B99E8CE3-C145-4F42-ABB1-945C68798A75}" type="presParOf" srcId="{D91A3CD6-80B5-4E40-8364-E12A75EBC864}" destId="{036E1520-18FE-49BD-9A46-9C153AC943D9}" srcOrd="1" destOrd="0" presId="urn:microsoft.com/office/officeart/2005/8/layout/hierarchy5"/>
    <dgm:cxn modelId="{70A4D0C7-A0C5-45FB-AA65-9913011D7B6C}" type="presParOf" srcId="{036E1520-18FE-49BD-9A46-9C153AC943D9}" destId="{B631CC48-5D71-4541-81DD-9C028EACDD7B}" srcOrd="0" destOrd="0" presId="urn:microsoft.com/office/officeart/2005/8/layout/hierarchy5"/>
    <dgm:cxn modelId="{C3C958A6-08A2-407A-B556-5E003DBAE40A}" type="presParOf" srcId="{036E1520-18FE-49BD-9A46-9C153AC943D9}" destId="{715363B7-E3B6-4B1D-B8B4-C37349278F6A}" srcOrd="1" destOrd="0" presId="urn:microsoft.com/office/officeart/2005/8/layout/hierarchy5"/>
    <dgm:cxn modelId="{69A51F8A-5BC3-450C-9570-E0F18A712240}" type="presParOf" srcId="{D91A3CD6-80B5-4E40-8364-E12A75EBC864}" destId="{B2FED3FC-471D-4BB7-9AA7-7CB36574F44F}" srcOrd="2" destOrd="0" presId="urn:microsoft.com/office/officeart/2005/8/layout/hierarchy5"/>
    <dgm:cxn modelId="{110977A4-0769-40FE-B1D6-37C7FFA71548}" type="presParOf" srcId="{B2FED3FC-471D-4BB7-9AA7-7CB36574F44F}" destId="{9A058AE3-AD0F-40B4-9A0F-3B627D52E221}" srcOrd="0" destOrd="0" presId="urn:microsoft.com/office/officeart/2005/8/layout/hierarchy5"/>
    <dgm:cxn modelId="{9DE5994B-7AC5-4035-A4A1-6904C94A78B2}" type="presParOf" srcId="{D91A3CD6-80B5-4E40-8364-E12A75EBC864}" destId="{B6BCE665-ACFB-447B-B687-CAC7FABBFE59}" srcOrd="3" destOrd="0" presId="urn:microsoft.com/office/officeart/2005/8/layout/hierarchy5"/>
    <dgm:cxn modelId="{5353CF5E-0E9E-44D5-B5B9-BA2F416E4A4C}" type="presParOf" srcId="{B6BCE665-ACFB-447B-B687-CAC7FABBFE59}" destId="{A44EFE6B-2B1B-4585-ADA2-53A1ABC59733}" srcOrd="0" destOrd="0" presId="urn:microsoft.com/office/officeart/2005/8/layout/hierarchy5"/>
    <dgm:cxn modelId="{F27AFD57-B84C-410F-812E-73A704DB077C}" type="presParOf" srcId="{B6BCE665-ACFB-447B-B687-CAC7FABBFE59}" destId="{11B27739-5A36-4CBE-A7CE-FF24D7007675}" srcOrd="1" destOrd="0" presId="urn:microsoft.com/office/officeart/2005/8/layout/hierarchy5"/>
    <dgm:cxn modelId="{131DD690-5FDD-4E20-87D2-A20FCDA5C2E9}" type="presParOf" srcId="{7FE488C4-2230-40ED-854F-EB3F1FD08CDC}" destId="{BA40A987-32B6-4FC4-A870-E7A56CCA5FC6}" srcOrd="1" destOrd="0" presId="urn:microsoft.com/office/officeart/2005/8/layout/hierarchy5"/>
  </dgm:cxnLst>
  <dgm:bg>
    <a:solidFill>
      <a:schemeClr val="bg1"/>
    </a:solidFill>
  </dgm:bg>
  <dgm:whole>
    <a:ln>
      <a:solidFill>
        <a:schemeClr val="bg1"/>
      </a:solidFill>
    </a:ln>
  </dgm:whole>
  <dgm:extLst>
    <a:ext uri="http://schemas.microsoft.com/office/drawing/2008/diagram">
      <dsp:dataModelExt xmlns:dsp="http://schemas.microsoft.com/office/drawing/2008/diagram" xmlns="" relId="rId2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6F8E193-A60D-44A0-8555-7D9925ADA5E5}">
      <dsp:nvSpPr>
        <dsp:cNvPr id="0" name=""/>
        <dsp:cNvSpPr/>
      </dsp:nvSpPr>
      <dsp:spPr>
        <a:xfrm>
          <a:off x="193" y="907967"/>
          <a:ext cx="711528" cy="355764"/>
        </a:xfrm>
        <a:prstGeom prst="roundRect">
          <a:avLst>
            <a:gd name="adj" fmla="val 10000"/>
          </a:avLst>
        </a:prstGeom>
        <a:solidFill>
          <a:schemeClr val="bg1">
            <a:alpha val="90000"/>
          </a:schemeClr>
        </a:solidFill>
        <a:ln>
          <a:solidFill>
            <a:schemeClr val="bg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cs-CZ" sz="1400" b="0" kern="1200">
              <a:latin typeface="Times New Roman" pitchFamily="18" charset="0"/>
              <a:cs typeface="Times New Roman" pitchFamily="18" charset="0"/>
            </a:rPr>
            <a:t>OPCE</a:t>
          </a:r>
        </a:p>
      </dsp:txBody>
      <dsp:txXfrm>
        <a:off x="193" y="907967"/>
        <a:ext cx="711528" cy="355764"/>
      </dsp:txXfrm>
    </dsp:sp>
    <dsp:sp modelId="{4C8463F8-7B66-4F56-9C92-0305F6AE2841}">
      <dsp:nvSpPr>
        <dsp:cNvPr id="0" name=""/>
        <dsp:cNvSpPr/>
      </dsp:nvSpPr>
      <dsp:spPr>
        <a:xfrm rot="18289469">
          <a:off x="604834" y="866541"/>
          <a:ext cx="498387" cy="29487"/>
        </a:xfrm>
        <a:custGeom>
          <a:avLst/>
          <a:gdLst/>
          <a:ahLst/>
          <a:cxnLst/>
          <a:rect l="0" t="0" r="0" b="0"/>
          <a:pathLst>
            <a:path>
              <a:moveTo>
                <a:pt x="0" y="14743"/>
              </a:moveTo>
              <a:lnTo>
                <a:pt x="498387" y="1474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cs-CZ" sz="500" kern="1200"/>
        </a:p>
      </dsp:txBody>
      <dsp:txXfrm rot="18289469">
        <a:off x="841568" y="868825"/>
        <a:ext cx="24919" cy="24919"/>
      </dsp:txXfrm>
    </dsp:sp>
    <dsp:sp modelId="{B536645F-7536-4D65-85CC-D6A4F9FBBF84}">
      <dsp:nvSpPr>
        <dsp:cNvPr id="0" name=""/>
        <dsp:cNvSpPr/>
      </dsp:nvSpPr>
      <dsp:spPr>
        <a:xfrm>
          <a:off x="996334" y="498838"/>
          <a:ext cx="1175274" cy="355764"/>
        </a:xfrm>
        <a:prstGeom prst="roundRect">
          <a:avLst>
            <a:gd name="adj" fmla="val 10000"/>
          </a:avLst>
        </a:prstGeom>
        <a:solidFill>
          <a:schemeClr val="bg1">
            <a:alpha val="90000"/>
          </a:schemeClr>
        </a:solidFill>
        <a:ln>
          <a:solidFill>
            <a:schemeClr val="bg1"/>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cs-CZ" sz="1100" kern="1200">
              <a:latin typeface="Times New Roman" pitchFamily="18" charset="0"/>
              <a:cs typeface="Times New Roman" pitchFamily="18" charset="0"/>
            </a:rPr>
            <a:t>Kupní (call) opce</a:t>
          </a:r>
        </a:p>
      </dsp:txBody>
      <dsp:txXfrm>
        <a:off x="996334" y="498838"/>
        <a:ext cx="1175274" cy="355764"/>
      </dsp:txXfrm>
    </dsp:sp>
    <dsp:sp modelId="{B170BF84-41A1-40EF-9AE7-B98AD949D3D7}">
      <dsp:nvSpPr>
        <dsp:cNvPr id="0" name=""/>
        <dsp:cNvSpPr/>
      </dsp:nvSpPr>
      <dsp:spPr>
        <a:xfrm rot="19457599">
          <a:off x="2138664" y="559695"/>
          <a:ext cx="350500" cy="29487"/>
        </a:xfrm>
        <a:custGeom>
          <a:avLst/>
          <a:gdLst/>
          <a:ahLst/>
          <a:cxnLst/>
          <a:rect l="0" t="0" r="0" b="0"/>
          <a:pathLst>
            <a:path>
              <a:moveTo>
                <a:pt x="0" y="14743"/>
              </a:moveTo>
              <a:lnTo>
                <a:pt x="350500" y="147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cs-CZ" sz="500" kern="1200"/>
        </a:p>
      </dsp:txBody>
      <dsp:txXfrm rot="19457599">
        <a:off x="2305151" y="565676"/>
        <a:ext cx="17525" cy="17525"/>
      </dsp:txXfrm>
    </dsp:sp>
    <dsp:sp modelId="{A0283992-38F4-49BD-8DCC-DBD249954F9A}">
      <dsp:nvSpPr>
        <dsp:cNvPr id="0" name=""/>
        <dsp:cNvSpPr/>
      </dsp:nvSpPr>
      <dsp:spPr>
        <a:xfrm>
          <a:off x="2456220" y="294274"/>
          <a:ext cx="1658751" cy="355764"/>
        </a:xfrm>
        <a:prstGeom prst="roundRect">
          <a:avLst>
            <a:gd name="adj" fmla="val 10000"/>
          </a:avLst>
        </a:prstGeom>
        <a:solidFill>
          <a:schemeClr val="bg1">
            <a:alpha val="9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cs-CZ" sz="1100" kern="1200">
              <a:latin typeface="Times New Roman" pitchFamily="18" charset="0"/>
              <a:cs typeface="Times New Roman" pitchFamily="18" charset="0"/>
            </a:rPr>
            <a:t>Koupená opce (long call)</a:t>
          </a:r>
        </a:p>
      </dsp:txBody>
      <dsp:txXfrm>
        <a:off x="2456220" y="294274"/>
        <a:ext cx="1658751" cy="355764"/>
      </dsp:txXfrm>
    </dsp:sp>
    <dsp:sp modelId="{B33807AC-2730-4F21-8539-1CF0DDCD9BC5}">
      <dsp:nvSpPr>
        <dsp:cNvPr id="0" name=""/>
        <dsp:cNvSpPr/>
      </dsp:nvSpPr>
      <dsp:spPr>
        <a:xfrm rot="2142401">
          <a:off x="2138664" y="764259"/>
          <a:ext cx="350500" cy="29487"/>
        </a:xfrm>
        <a:custGeom>
          <a:avLst/>
          <a:gdLst/>
          <a:ahLst/>
          <a:cxnLst/>
          <a:rect l="0" t="0" r="0" b="0"/>
          <a:pathLst>
            <a:path>
              <a:moveTo>
                <a:pt x="0" y="14743"/>
              </a:moveTo>
              <a:lnTo>
                <a:pt x="350500" y="147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cs-CZ" sz="500" kern="1200"/>
        </a:p>
      </dsp:txBody>
      <dsp:txXfrm rot="2142401">
        <a:off x="2305151" y="770240"/>
        <a:ext cx="17525" cy="17525"/>
      </dsp:txXfrm>
    </dsp:sp>
    <dsp:sp modelId="{EACEAEF5-E091-4582-A517-0A661A814A53}">
      <dsp:nvSpPr>
        <dsp:cNvPr id="0" name=""/>
        <dsp:cNvSpPr/>
      </dsp:nvSpPr>
      <dsp:spPr>
        <a:xfrm>
          <a:off x="2456220" y="703403"/>
          <a:ext cx="1670854" cy="355764"/>
        </a:xfrm>
        <a:prstGeom prst="roundRect">
          <a:avLst>
            <a:gd name="adj" fmla="val 10000"/>
          </a:avLst>
        </a:prstGeom>
        <a:solidFill>
          <a:schemeClr val="bg1">
            <a:alpha val="9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cs-CZ" sz="1100" kern="1200">
              <a:latin typeface="Times New Roman" pitchFamily="18" charset="0"/>
              <a:cs typeface="Times New Roman" pitchFamily="18" charset="0"/>
            </a:rPr>
            <a:t>Prodaná opce (short call)</a:t>
          </a:r>
        </a:p>
      </dsp:txBody>
      <dsp:txXfrm>
        <a:off x="2456220" y="703403"/>
        <a:ext cx="1670854" cy="355764"/>
      </dsp:txXfrm>
    </dsp:sp>
    <dsp:sp modelId="{1BE6A64F-4657-49A7-A79B-83E3280B845D}">
      <dsp:nvSpPr>
        <dsp:cNvPr id="0" name=""/>
        <dsp:cNvSpPr/>
      </dsp:nvSpPr>
      <dsp:spPr>
        <a:xfrm rot="3310531">
          <a:off x="604834" y="1275670"/>
          <a:ext cx="498387" cy="29487"/>
        </a:xfrm>
        <a:custGeom>
          <a:avLst/>
          <a:gdLst/>
          <a:ahLst/>
          <a:cxnLst/>
          <a:rect l="0" t="0" r="0" b="0"/>
          <a:pathLst>
            <a:path>
              <a:moveTo>
                <a:pt x="0" y="14743"/>
              </a:moveTo>
              <a:lnTo>
                <a:pt x="498387" y="1474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cs-CZ" sz="500" kern="1200"/>
        </a:p>
      </dsp:txBody>
      <dsp:txXfrm rot="3310531">
        <a:off x="841568" y="1277954"/>
        <a:ext cx="24919" cy="24919"/>
      </dsp:txXfrm>
    </dsp:sp>
    <dsp:sp modelId="{7957E2A9-C198-4527-898A-47F84F668F0C}">
      <dsp:nvSpPr>
        <dsp:cNvPr id="0" name=""/>
        <dsp:cNvSpPr/>
      </dsp:nvSpPr>
      <dsp:spPr>
        <a:xfrm>
          <a:off x="996334" y="1317096"/>
          <a:ext cx="1168913" cy="355764"/>
        </a:xfrm>
        <a:prstGeom prst="roundRect">
          <a:avLst>
            <a:gd name="adj" fmla="val 10000"/>
          </a:avLst>
        </a:prstGeom>
        <a:solidFill>
          <a:schemeClr val="bg1">
            <a:alpha val="90000"/>
          </a:schemeClr>
        </a:solidFill>
        <a:ln>
          <a:solidFill>
            <a:schemeClr val="bg1"/>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cs-CZ" sz="1100" kern="1200">
              <a:latin typeface="Times New Roman" pitchFamily="18" charset="0"/>
              <a:cs typeface="Times New Roman" pitchFamily="18" charset="0"/>
            </a:rPr>
            <a:t>Prodejní (put) opce</a:t>
          </a:r>
        </a:p>
      </dsp:txBody>
      <dsp:txXfrm>
        <a:off x="996334" y="1317096"/>
        <a:ext cx="1168913" cy="355764"/>
      </dsp:txXfrm>
    </dsp:sp>
    <dsp:sp modelId="{6BEBC791-D3F6-4112-B8A0-DAC4F0E19C37}">
      <dsp:nvSpPr>
        <dsp:cNvPr id="0" name=""/>
        <dsp:cNvSpPr/>
      </dsp:nvSpPr>
      <dsp:spPr>
        <a:xfrm rot="19457599">
          <a:off x="2132303" y="1377953"/>
          <a:ext cx="350500" cy="29487"/>
        </a:xfrm>
        <a:custGeom>
          <a:avLst/>
          <a:gdLst/>
          <a:ahLst/>
          <a:cxnLst/>
          <a:rect l="0" t="0" r="0" b="0"/>
          <a:pathLst>
            <a:path>
              <a:moveTo>
                <a:pt x="0" y="14743"/>
              </a:moveTo>
              <a:lnTo>
                <a:pt x="350500" y="147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cs-CZ" sz="500" kern="1200"/>
        </a:p>
      </dsp:txBody>
      <dsp:txXfrm rot="19457599">
        <a:off x="2298790" y="1383934"/>
        <a:ext cx="17525" cy="17525"/>
      </dsp:txXfrm>
    </dsp:sp>
    <dsp:sp modelId="{B631CC48-5D71-4541-81DD-9C028EACDD7B}">
      <dsp:nvSpPr>
        <dsp:cNvPr id="0" name=""/>
        <dsp:cNvSpPr/>
      </dsp:nvSpPr>
      <dsp:spPr>
        <a:xfrm>
          <a:off x="2449859" y="1112532"/>
          <a:ext cx="1676909" cy="355764"/>
        </a:xfrm>
        <a:prstGeom prst="roundRect">
          <a:avLst>
            <a:gd name="adj" fmla="val 10000"/>
          </a:avLst>
        </a:prstGeom>
        <a:solidFill>
          <a:schemeClr val="bg1">
            <a:alpha val="9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cs-CZ" sz="1100" kern="1200">
              <a:latin typeface="Times New Roman" pitchFamily="18" charset="0"/>
              <a:cs typeface="Times New Roman" pitchFamily="18" charset="0"/>
            </a:rPr>
            <a:t>Koupená opce (long put)</a:t>
          </a:r>
        </a:p>
      </dsp:txBody>
      <dsp:txXfrm>
        <a:off x="2449859" y="1112532"/>
        <a:ext cx="1676909" cy="355764"/>
      </dsp:txXfrm>
    </dsp:sp>
    <dsp:sp modelId="{B2FED3FC-471D-4BB7-9AA7-7CB36574F44F}">
      <dsp:nvSpPr>
        <dsp:cNvPr id="0" name=""/>
        <dsp:cNvSpPr/>
      </dsp:nvSpPr>
      <dsp:spPr>
        <a:xfrm rot="2142401">
          <a:off x="2132303" y="1582517"/>
          <a:ext cx="350500" cy="29487"/>
        </a:xfrm>
        <a:custGeom>
          <a:avLst/>
          <a:gdLst/>
          <a:ahLst/>
          <a:cxnLst/>
          <a:rect l="0" t="0" r="0" b="0"/>
          <a:pathLst>
            <a:path>
              <a:moveTo>
                <a:pt x="0" y="14743"/>
              </a:moveTo>
              <a:lnTo>
                <a:pt x="350500" y="147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cs-CZ" sz="500" kern="1200"/>
        </a:p>
      </dsp:txBody>
      <dsp:txXfrm rot="2142401">
        <a:off x="2298790" y="1588498"/>
        <a:ext cx="17525" cy="17525"/>
      </dsp:txXfrm>
    </dsp:sp>
    <dsp:sp modelId="{A44EFE6B-2B1B-4585-ADA2-53A1ABC59733}">
      <dsp:nvSpPr>
        <dsp:cNvPr id="0" name=""/>
        <dsp:cNvSpPr/>
      </dsp:nvSpPr>
      <dsp:spPr>
        <a:xfrm>
          <a:off x="2449859" y="1521661"/>
          <a:ext cx="1683797" cy="355764"/>
        </a:xfrm>
        <a:prstGeom prst="roundRect">
          <a:avLst>
            <a:gd name="adj" fmla="val 10000"/>
          </a:avLst>
        </a:prstGeom>
        <a:solidFill>
          <a:schemeClr val="bg1">
            <a:alpha val="9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cs-CZ" sz="1100" kern="1200">
              <a:latin typeface="Times New Roman" pitchFamily="18" charset="0"/>
              <a:cs typeface="Times New Roman" pitchFamily="18" charset="0"/>
            </a:rPr>
            <a:t>Prodaná opce (short put</a:t>
          </a:r>
          <a:r>
            <a:rPr lang="cs-CZ" sz="1200" kern="1200">
              <a:latin typeface="Times New Roman" pitchFamily="18" charset="0"/>
              <a:cs typeface="Times New Roman" pitchFamily="18" charset="0"/>
            </a:rPr>
            <a:t>)</a:t>
          </a:r>
        </a:p>
      </dsp:txBody>
      <dsp:txXfrm>
        <a:off x="2449859" y="1521661"/>
        <a:ext cx="1683797" cy="35576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9BFEFC-F703-4DFA-A997-88F0A62E1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10175</TotalTime>
  <Pages>86</Pages>
  <Words>22154</Words>
  <Characters>125617</Characters>
  <Application>Microsoft Office Word</Application>
  <DocSecurity>0</DocSecurity>
  <Lines>3220</Lines>
  <Paragraphs>1824</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145947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VERCA</dc:creator>
  <cp:lastModifiedBy>VERCA</cp:lastModifiedBy>
  <cp:revision>139</cp:revision>
  <dcterms:created xsi:type="dcterms:W3CDTF">2013-04-12T14:05:00Z</dcterms:created>
  <dcterms:modified xsi:type="dcterms:W3CDTF">2013-04-22T09:31:00Z</dcterms:modified>
</cp:coreProperties>
</file>